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default" w:ascii="黑体" w:hAnsi="黑体" w:eastAsia="黑体" w:cs="黑体"/>
          <w:i w:val="0"/>
          <w:caps w:val="0"/>
          <w:color w:val="333333"/>
          <w:spacing w:val="0"/>
          <w:sz w:val="36"/>
          <w:szCs w:val="36"/>
          <w:shd w:val="clear" w:color="auto" w:fill="FFFFFF"/>
          <w:lang w:val="en-US" w:eastAsia="zh-CN"/>
        </w:rPr>
      </w:pPr>
      <w:r>
        <w:rPr>
          <w:rFonts w:hint="eastAsia" w:ascii="黑体" w:hAnsi="黑体" w:eastAsia="黑体" w:cs="黑体"/>
          <w:i w:val="0"/>
          <w:caps w:val="0"/>
          <w:color w:val="333333"/>
          <w:spacing w:val="0"/>
          <w:sz w:val="36"/>
          <w:szCs w:val="36"/>
          <w:shd w:val="clear" w:color="auto" w:fill="FFFFFF"/>
          <w:lang w:eastAsia="zh-CN"/>
        </w:rPr>
        <w:t>附件</w:t>
      </w:r>
      <w:r>
        <w:rPr>
          <w:rFonts w:hint="eastAsia" w:ascii="黑体" w:hAnsi="黑体" w:eastAsia="黑体" w:cs="黑体"/>
          <w:i w:val="0"/>
          <w:caps w:val="0"/>
          <w:color w:val="333333"/>
          <w:spacing w:val="0"/>
          <w:sz w:val="36"/>
          <w:szCs w:val="36"/>
          <w:shd w:val="clear" w:color="auto" w:fill="FFFFFF"/>
          <w:lang w:val="en-US" w:eastAsia="zh-CN"/>
        </w:rPr>
        <w:t>2：</w:t>
      </w:r>
    </w:p>
    <w:p>
      <w:pPr>
        <w:keepNext w:val="0"/>
        <w:keepLines w:val="0"/>
        <w:pageBreakBefore w:val="0"/>
        <w:widowControl w:val="0"/>
        <w:shd w:val="clear" w:color="auto" w:fill="auto"/>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武汉市</w:t>
      </w:r>
      <w:r>
        <w:rPr>
          <w:rFonts w:hint="eastAsia" w:ascii="方正小标宋简体" w:hAnsi="方正小标宋简体" w:eastAsia="方正小标宋简体" w:cs="方正小标宋简体"/>
          <w:sz w:val="44"/>
          <w:szCs w:val="44"/>
        </w:rPr>
        <w:t>建立健全职工基本医疗保险</w:t>
      </w:r>
    </w:p>
    <w:p>
      <w:pPr>
        <w:keepNext w:val="0"/>
        <w:keepLines w:val="0"/>
        <w:pageBreakBefore w:val="0"/>
        <w:widowControl w:val="0"/>
        <w:shd w:val="clear" w:color="auto" w:fill="auto"/>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门诊共济保障机制的实施细则</w:t>
      </w:r>
    </w:p>
    <w:p>
      <w:pPr>
        <w:pStyle w:val="3"/>
        <w:keepNext w:val="0"/>
        <w:keepLines w:val="0"/>
        <w:pageBreakBefore w:val="0"/>
        <w:widowControl w:val="0"/>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Style w:val="6"/>
          <w:rFonts w:hint="eastAsia" w:ascii="黑体" w:hAnsi="黑体" w:eastAsia="黑体" w:cs="黑体"/>
          <w:b w:val="0"/>
          <w:bCs/>
          <w:spacing w:val="8"/>
          <w:sz w:val="32"/>
          <w:szCs w:val="32"/>
          <w:shd w:val="clear" w:color="auto" w:fill="FFFFFF"/>
        </w:rPr>
      </w:pPr>
      <w:r>
        <w:rPr>
          <w:rStyle w:val="6"/>
          <w:rFonts w:hint="eastAsia" w:ascii="楷体_GB2312" w:hAnsi="楷体_GB2312" w:eastAsia="楷体_GB2312" w:cs="楷体_GB2312"/>
          <w:b w:val="0"/>
          <w:bCs/>
          <w:color w:val="000000"/>
          <w:spacing w:val="8"/>
          <w:sz w:val="32"/>
          <w:szCs w:val="32"/>
          <w:shd w:val="clear" w:color="auto" w:fill="FFFFFF"/>
        </w:rPr>
        <w:t>（征求意见稿）</w:t>
      </w:r>
    </w:p>
    <w:p>
      <w:pPr>
        <w:pStyle w:val="3"/>
        <w:keepNext w:val="0"/>
        <w:keepLines w:val="0"/>
        <w:pageBreakBefore w:val="0"/>
        <w:widowControl w:val="0"/>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eastAsia" w:ascii="仿宋_GB2312" w:hAnsi="仿宋_GB2312" w:eastAsia="仿宋_GB2312" w:cs="仿宋_GB2312"/>
          <w:bCs/>
          <w:color w:val="333333"/>
          <w:spacing w:val="8"/>
          <w:sz w:val="32"/>
          <w:szCs w:val="32"/>
        </w:rPr>
      </w:pPr>
      <w:r>
        <w:rPr>
          <w:rStyle w:val="6"/>
          <w:rFonts w:hint="eastAsia" w:ascii="黑体" w:hAnsi="黑体" w:eastAsia="黑体" w:cs="黑体"/>
          <w:b w:val="0"/>
          <w:bCs/>
          <w:spacing w:val="8"/>
          <w:sz w:val="32"/>
          <w:szCs w:val="32"/>
          <w:shd w:val="clear" w:color="auto" w:fill="FFFFFF"/>
        </w:rPr>
        <w:t>第一章</w:t>
      </w:r>
      <w:r>
        <w:rPr>
          <w:rStyle w:val="6"/>
          <w:rFonts w:hint="eastAsia" w:ascii="黑体" w:hAnsi="黑体" w:eastAsia="黑体" w:cs="黑体"/>
          <w:b w:val="0"/>
          <w:bCs/>
          <w:spacing w:val="8"/>
          <w:sz w:val="32"/>
          <w:szCs w:val="32"/>
          <w:shd w:val="clear" w:color="auto" w:fill="FFFFFF"/>
          <w:lang w:val="en-US" w:eastAsia="zh-CN"/>
        </w:rPr>
        <w:t xml:space="preserve"> </w:t>
      </w:r>
      <w:r>
        <w:rPr>
          <w:rStyle w:val="6"/>
          <w:rFonts w:hint="eastAsia" w:ascii="黑体" w:hAnsi="黑体" w:eastAsia="黑体" w:cs="黑体"/>
          <w:b w:val="0"/>
          <w:bCs/>
          <w:spacing w:val="8"/>
          <w:sz w:val="32"/>
          <w:szCs w:val="32"/>
          <w:shd w:val="clear" w:color="auto" w:fill="FFFFFF"/>
        </w:rPr>
        <w:t xml:space="preserve"> 总</w:t>
      </w:r>
      <w:r>
        <w:rPr>
          <w:rStyle w:val="6"/>
          <w:rFonts w:hint="eastAsia" w:ascii="黑体" w:hAnsi="黑体" w:eastAsia="黑体" w:cs="黑体"/>
          <w:b w:val="0"/>
          <w:bCs/>
          <w:spacing w:val="8"/>
          <w:sz w:val="32"/>
          <w:szCs w:val="32"/>
          <w:shd w:val="clear" w:color="auto" w:fill="FFFFFF"/>
          <w:lang w:val="en-US" w:eastAsia="zh-CN"/>
        </w:rPr>
        <w:t xml:space="preserve"> </w:t>
      </w:r>
      <w:r>
        <w:rPr>
          <w:rStyle w:val="6"/>
          <w:rFonts w:hint="eastAsia" w:ascii="黑体" w:hAnsi="黑体" w:eastAsia="黑体" w:cs="黑体"/>
          <w:b w:val="0"/>
          <w:bCs/>
          <w:spacing w:val="8"/>
          <w:sz w:val="32"/>
          <w:szCs w:val="32"/>
          <w:shd w:val="clear" w:color="auto" w:fill="FFFFFF"/>
        </w:rPr>
        <w:t>则</w:t>
      </w:r>
    </w:p>
    <w:p>
      <w:pPr>
        <w:pStyle w:val="3"/>
        <w:keepNext w:val="0"/>
        <w:keepLines w:val="0"/>
        <w:pageBreakBefore w:val="0"/>
        <w:widowControl w:val="0"/>
        <w:shd w:val="clear" w:color="auto" w:fill="auto"/>
        <w:kinsoku/>
        <w:wordWrap/>
        <w:overflowPunct/>
        <w:topLinePunct w:val="0"/>
        <w:bidi w:val="0"/>
        <w:snapToGrid/>
        <w:spacing w:before="0" w:beforeAutospacing="0" w:after="0" w:afterAutospacing="0" w:line="560" w:lineRule="exact"/>
        <w:ind w:firstLine="760"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i w:val="0"/>
          <w:iCs w:val="0"/>
          <w:caps w:val="0"/>
          <w:color w:val="auto"/>
          <w:spacing w:val="30"/>
          <w:sz w:val="32"/>
          <w:szCs w:val="32"/>
          <w:u w:val="none"/>
          <w:shd w:val="clear" w:color="auto" w:fill="FFFFFF"/>
          <w:lang w:eastAsia="zh-CN"/>
        </w:rPr>
        <w:t xml:space="preserve">第一条 </w:t>
      </w:r>
      <w:r>
        <w:rPr>
          <w:rFonts w:hint="eastAsia" w:ascii="仿宋_GB2312" w:hAnsi="仿宋_GB2312" w:eastAsia="仿宋_GB2312" w:cs="仿宋_GB2312"/>
          <w:kern w:val="2"/>
          <w:sz w:val="32"/>
          <w:szCs w:val="32"/>
        </w:rPr>
        <w:t>为进一步健全互助共济、责任共担的职工基本医疗保险（以下简称职工医保）制度，更好解决职工医保参保人员门诊保障问题，切实减轻其医疗费用负担，根据《国务院办公厅关于建立健全职工基本医疗保险门诊共济保障机制的指导意见》(国办发〔2021〕14号)和《</w:t>
      </w:r>
      <w:r>
        <w:rPr>
          <w:rFonts w:hint="eastAsia" w:ascii="仿宋_GB2312" w:hAnsi="仿宋_GB2312" w:eastAsia="仿宋_GB2312" w:cs="仿宋_GB2312"/>
          <w:kern w:val="2"/>
          <w:sz w:val="32"/>
          <w:szCs w:val="32"/>
          <w:lang w:eastAsia="zh-CN"/>
        </w:rPr>
        <w:t>湖北</w:t>
      </w:r>
      <w:r>
        <w:rPr>
          <w:rFonts w:hint="eastAsia" w:ascii="仿宋_GB2312" w:hAnsi="仿宋_GB2312" w:eastAsia="仿宋_GB2312" w:cs="仿宋_GB2312"/>
          <w:kern w:val="2"/>
          <w:sz w:val="32"/>
          <w:szCs w:val="32"/>
        </w:rPr>
        <w:t>省人民政府办公厅关于建立健全职工基本医疗保险门诊共济保障机制的实施</w:t>
      </w:r>
      <w:r>
        <w:rPr>
          <w:rFonts w:hint="eastAsia" w:ascii="仿宋_GB2312" w:hAnsi="仿宋_GB2312" w:eastAsia="仿宋_GB2312" w:cs="仿宋_GB2312"/>
          <w:kern w:val="2"/>
          <w:sz w:val="32"/>
          <w:szCs w:val="32"/>
          <w:lang w:eastAsia="zh-CN"/>
        </w:rPr>
        <w:t>意见</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鄂政办发</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25</w:t>
      </w:r>
      <w:r>
        <w:rPr>
          <w:rFonts w:hint="eastAsia" w:ascii="仿宋_GB2312" w:hAnsi="仿宋_GB2312" w:eastAsia="仿宋_GB2312" w:cs="仿宋_GB2312"/>
          <w:kern w:val="2"/>
          <w:sz w:val="32"/>
          <w:szCs w:val="32"/>
        </w:rPr>
        <w:t>号)，结合我市实际，制定本实施细则。</w:t>
      </w:r>
    </w:p>
    <w:p>
      <w:pPr>
        <w:pStyle w:val="3"/>
        <w:keepNext w:val="0"/>
        <w:keepLines w:val="0"/>
        <w:pageBreakBefore w:val="0"/>
        <w:widowControl w:val="0"/>
        <w:shd w:val="clear" w:color="auto" w:fill="auto"/>
        <w:kinsoku/>
        <w:wordWrap/>
        <w:overflowPunct/>
        <w:topLinePunct w:val="0"/>
        <w:bidi w:val="0"/>
        <w:snapToGrid/>
        <w:spacing w:before="0" w:beforeAutospacing="0" w:after="0" w:afterAutospacing="0" w:line="560" w:lineRule="exact"/>
        <w:ind w:firstLine="760"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i w:val="0"/>
          <w:iCs w:val="0"/>
          <w:caps w:val="0"/>
          <w:color w:val="auto"/>
          <w:spacing w:val="30"/>
          <w:sz w:val="32"/>
          <w:szCs w:val="32"/>
          <w:u w:val="none"/>
          <w:shd w:val="clear" w:color="auto" w:fill="FFFFFF"/>
          <w:lang w:eastAsia="zh-CN"/>
        </w:rPr>
        <w:t xml:space="preserve">第二条 </w:t>
      </w:r>
      <w:r>
        <w:rPr>
          <w:rFonts w:hint="eastAsia" w:ascii="仿宋_GB2312" w:hAnsi="仿宋_GB2312" w:eastAsia="仿宋_GB2312" w:cs="仿宋_GB2312"/>
          <w:kern w:val="2"/>
          <w:sz w:val="32"/>
          <w:szCs w:val="32"/>
        </w:rPr>
        <w:t>本实施细则适用于我市职工医保全体参保人员。</w:t>
      </w:r>
      <w:bookmarkStart w:id="0" w:name="_GoBack"/>
      <w:bookmarkEnd w:id="0"/>
    </w:p>
    <w:p>
      <w:pPr>
        <w:spacing w:line="560" w:lineRule="exact"/>
        <w:ind w:firstLine="760" w:firstLineChars="200"/>
        <w:rPr>
          <w:rFonts w:ascii="仿宋_GB2312" w:eastAsia="仿宋_GB2312"/>
          <w:sz w:val="32"/>
          <w:szCs w:val="32"/>
        </w:rPr>
      </w:pPr>
      <w:r>
        <w:rPr>
          <w:rFonts w:hint="eastAsia" w:ascii="黑体" w:hAnsi="黑体" w:eastAsia="黑体" w:cs="黑体"/>
          <w:i w:val="0"/>
          <w:iCs w:val="0"/>
          <w:caps w:val="0"/>
          <w:color w:val="auto"/>
          <w:spacing w:val="30"/>
          <w:sz w:val="32"/>
          <w:szCs w:val="32"/>
          <w:u w:val="none"/>
          <w:shd w:val="clear" w:color="auto" w:fill="FFFFFF"/>
          <w:lang w:eastAsia="zh-CN"/>
        </w:rPr>
        <w:t>第三条</w:t>
      </w:r>
      <w:r>
        <w:rPr>
          <w:rFonts w:hint="eastAsia" w:ascii="黑体" w:hAnsi="黑体" w:eastAsia="黑体" w:cs="黑体"/>
          <w:i w:val="0"/>
          <w:iCs w:val="0"/>
          <w:caps w:val="0"/>
          <w:color w:val="auto"/>
          <w:spacing w:val="30"/>
          <w:sz w:val="32"/>
          <w:szCs w:val="32"/>
          <w:u w:val="none"/>
          <w:shd w:val="clear" w:color="auto" w:fill="FFFFFF"/>
          <w:lang w:val="en-US" w:eastAsia="zh-CN"/>
        </w:rPr>
        <w:t xml:space="preserve"> </w:t>
      </w:r>
      <w:r>
        <w:rPr>
          <w:rFonts w:hint="eastAsia" w:ascii="仿宋_GB2312" w:hAnsi="仿宋_GB2312" w:eastAsia="仿宋_GB2312" w:cs="仿宋_GB2312"/>
          <w:kern w:val="2"/>
          <w:sz w:val="32"/>
          <w:szCs w:val="32"/>
          <w:lang w:val="en-US" w:eastAsia="zh-CN" w:bidi="ar"/>
        </w:rPr>
        <w:t>按照保障</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eastAsia="zh-CN"/>
        </w:rPr>
        <w:t>、</w:t>
      </w:r>
      <w:r>
        <w:rPr>
          <w:rFonts w:hint="eastAsia" w:ascii="仿宋_GB2312" w:eastAsia="仿宋_GB2312"/>
          <w:sz w:val="32"/>
          <w:szCs w:val="32"/>
        </w:rPr>
        <w:t>公平适度</w:t>
      </w:r>
      <w:r>
        <w:rPr>
          <w:rFonts w:hint="eastAsia" w:ascii="仿宋_GB2312" w:eastAsia="仿宋_GB2312"/>
          <w:sz w:val="32"/>
          <w:szCs w:val="32"/>
          <w:lang w:eastAsia="zh-CN"/>
        </w:rPr>
        <w:t>、平稳过渡、协同联动的原则</w:t>
      </w:r>
      <w:r>
        <w:rPr>
          <w:rFonts w:hint="eastAsia" w:ascii="仿宋_GB2312" w:eastAsia="仿宋_GB2312"/>
          <w:sz w:val="32"/>
          <w:szCs w:val="32"/>
        </w:rPr>
        <w:t>，</w:t>
      </w:r>
      <w:r>
        <w:rPr>
          <w:rFonts w:hint="eastAsia" w:ascii="仿宋_GB2312" w:eastAsia="仿宋_GB2312"/>
          <w:sz w:val="32"/>
          <w:szCs w:val="32"/>
          <w:lang w:eastAsia="zh-CN"/>
        </w:rPr>
        <w:t>建立统筹共济的职工医保门诊保障制度，</w:t>
      </w:r>
      <w:r>
        <w:rPr>
          <w:rFonts w:hint="eastAsia" w:ascii="仿宋_GB2312" w:eastAsia="仿宋_GB2312"/>
          <w:sz w:val="32"/>
          <w:szCs w:val="32"/>
        </w:rPr>
        <w:t>在国家</w:t>
      </w:r>
      <w:r>
        <w:rPr>
          <w:rFonts w:hint="eastAsia" w:ascii="仿宋_GB2312" w:eastAsia="仿宋_GB2312"/>
          <w:sz w:val="32"/>
          <w:szCs w:val="32"/>
          <w:lang w:eastAsia="zh-CN"/>
        </w:rPr>
        <w:t>、省</w:t>
      </w:r>
      <w:r>
        <w:rPr>
          <w:rFonts w:hint="eastAsia" w:ascii="仿宋_GB2312" w:eastAsia="仿宋_GB2312"/>
          <w:sz w:val="32"/>
          <w:szCs w:val="32"/>
        </w:rPr>
        <w:t>制度框架内动态调整。</w:t>
      </w:r>
    </w:p>
    <w:p>
      <w:pPr>
        <w:pStyle w:val="3"/>
        <w:keepNext w:val="0"/>
        <w:keepLines w:val="0"/>
        <w:pageBreakBefore w:val="0"/>
        <w:widowControl w:val="0"/>
        <w:shd w:val="clear" w:color="auto" w:fill="auto"/>
        <w:kinsoku/>
        <w:wordWrap/>
        <w:overflowPunct/>
        <w:topLinePunct w:val="0"/>
        <w:bidi w:val="0"/>
        <w:snapToGrid/>
        <w:spacing w:before="0" w:beforeAutospacing="0" w:after="0" w:afterAutospacing="0" w:line="560" w:lineRule="exact"/>
        <w:ind w:firstLine="76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auto"/>
          <w:spacing w:val="30"/>
          <w:sz w:val="32"/>
          <w:szCs w:val="32"/>
          <w:u w:val="none"/>
          <w:shd w:val="clear" w:color="auto" w:fill="FFFFFF"/>
          <w:lang w:eastAsia="zh-CN"/>
        </w:rPr>
        <w:t>第四条</w:t>
      </w:r>
      <w:r>
        <w:rPr>
          <w:rFonts w:hint="eastAsia" w:ascii="黑体" w:hAnsi="黑体" w:eastAsia="黑体" w:cs="黑体"/>
          <w:i w:val="0"/>
          <w:iCs w:val="0"/>
          <w:caps w:val="0"/>
          <w:color w:val="auto"/>
          <w:spacing w:val="30"/>
          <w:sz w:val="32"/>
          <w:szCs w:val="32"/>
          <w:u w:val="none"/>
          <w:shd w:val="clear" w:color="auto" w:fill="FFFFFF"/>
          <w:lang w:val="en-US" w:eastAsia="zh-CN"/>
        </w:rPr>
        <w:t xml:space="preserve"> </w:t>
      </w:r>
      <w:r>
        <w:rPr>
          <w:rFonts w:hint="eastAsia" w:ascii="仿宋_GB2312" w:hAnsi="仿宋_GB2312" w:eastAsia="仿宋_GB2312" w:cs="仿宋_GB2312"/>
          <w:sz w:val="32"/>
          <w:szCs w:val="32"/>
        </w:rPr>
        <w:t>市医疗保障行政部门负责我市职工医保门诊共济保障工作的组织实施，医疗保障经办机构(以下简称医保经办机构)具体负责普通门诊统筹资金的筹集、管理和待遇审核、给付等经办工作。</w:t>
      </w:r>
    </w:p>
    <w:p>
      <w:pPr>
        <w:spacing w:line="560" w:lineRule="exact"/>
        <w:ind w:firstLine="760" w:firstLineChars="200"/>
        <w:rPr>
          <w:rFonts w:ascii="仿宋_GB2312" w:eastAsia="仿宋_GB2312"/>
          <w:sz w:val="32"/>
          <w:szCs w:val="32"/>
        </w:rPr>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 xml:space="preserve">第五条 </w:t>
      </w:r>
      <w:r>
        <w:rPr>
          <w:rFonts w:hint="eastAsia" w:ascii="仿宋_GB2312" w:eastAsia="仿宋_GB2312"/>
          <w:sz w:val="32"/>
          <w:szCs w:val="32"/>
        </w:rPr>
        <w:t>卫生健康部门</w:t>
      </w:r>
      <w:r>
        <w:rPr>
          <w:rFonts w:hint="eastAsia" w:ascii="仿宋_GB2312" w:eastAsia="仿宋_GB2312"/>
          <w:sz w:val="32"/>
          <w:szCs w:val="32"/>
          <w:lang w:eastAsia="zh-CN"/>
        </w:rPr>
        <w:t>负责</w:t>
      </w:r>
      <w:r>
        <w:rPr>
          <w:rFonts w:hint="eastAsia" w:ascii="仿宋_GB2312" w:eastAsia="仿宋_GB2312"/>
          <w:sz w:val="32"/>
          <w:szCs w:val="32"/>
        </w:rPr>
        <w:t>加强医疗机构的监管考核，促进定点医疗机构规范诊疗行为，做好处方流转及处方评价工作，推进长处方规范管理工作，为参保人员提供优质医疗服务；财政部门</w:t>
      </w:r>
      <w:r>
        <w:rPr>
          <w:rFonts w:hint="eastAsia" w:ascii="仿宋_GB2312" w:eastAsia="仿宋_GB2312"/>
          <w:sz w:val="32"/>
          <w:szCs w:val="32"/>
          <w:lang w:eastAsia="zh-CN"/>
        </w:rPr>
        <w:t>负责</w:t>
      </w:r>
      <w:r>
        <w:rPr>
          <w:rFonts w:hint="eastAsia" w:ascii="仿宋_GB2312" w:eastAsia="仿宋_GB2312"/>
          <w:sz w:val="32"/>
          <w:szCs w:val="32"/>
        </w:rPr>
        <w:t>做好职责范围内医保基金的监管使用工作，配合医保部门及时结算定点医药机构费用；人力资源</w:t>
      </w:r>
      <w:r>
        <w:rPr>
          <w:rFonts w:hint="eastAsia" w:ascii="仿宋_GB2312" w:eastAsia="仿宋_GB2312"/>
          <w:sz w:val="32"/>
          <w:szCs w:val="32"/>
          <w:lang w:eastAsia="zh-CN"/>
        </w:rPr>
        <w:t>和</w:t>
      </w:r>
      <w:r>
        <w:rPr>
          <w:rFonts w:hint="eastAsia" w:ascii="仿宋_GB2312" w:eastAsia="仿宋_GB2312"/>
          <w:sz w:val="32"/>
          <w:szCs w:val="32"/>
        </w:rPr>
        <w:t>社会保障部门</w:t>
      </w:r>
      <w:r>
        <w:rPr>
          <w:rFonts w:hint="eastAsia" w:ascii="仿宋_GB2312" w:eastAsia="仿宋_GB2312"/>
          <w:sz w:val="32"/>
          <w:szCs w:val="32"/>
          <w:lang w:eastAsia="zh-CN"/>
        </w:rPr>
        <w:t>负责</w:t>
      </w:r>
      <w:r>
        <w:rPr>
          <w:rFonts w:hint="eastAsia" w:ascii="仿宋_GB2312" w:eastAsia="仿宋_GB2312"/>
          <w:sz w:val="32"/>
          <w:szCs w:val="32"/>
        </w:rPr>
        <w:t>及时提供</w:t>
      </w:r>
      <w:r>
        <w:rPr>
          <w:rFonts w:hint="eastAsia" w:ascii="仿宋_GB2312" w:eastAsia="仿宋_GB2312"/>
          <w:sz w:val="32"/>
          <w:szCs w:val="32"/>
          <w:lang w:eastAsia="zh-CN"/>
        </w:rPr>
        <w:t>我市</w:t>
      </w:r>
      <w:r>
        <w:rPr>
          <w:rFonts w:hint="eastAsia" w:ascii="仿宋_GB2312" w:eastAsia="仿宋_GB2312"/>
          <w:sz w:val="32"/>
          <w:szCs w:val="32"/>
        </w:rPr>
        <w:t>退休人员基本养老保险平均水平等相关数据；市场监督管理部门</w:t>
      </w:r>
      <w:r>
        <w:rPr>
          <w:rFonts w:hint="eastAsia" w:ascii="仿宋_GB2312" w:eastAsia="仿宋_GB2312"/>
          <w:sz w:val="32"/>
          <w:szCs w:val="32"/>
          <w:lang w:eastAsia="zh-CN"/>
        </w:rPr>
        <w:t>负责</w:t>
      </w:r>
      <w:r>
        <w:rPr>
          <w:rFonts w:hint="eastAsia" w:ascii="仿宋_GB2312" w:eastAsia="仿宋_GB2312"/>
          <w:sz w:val="32"/>
          <w:szCs w:val="32"/>
        </w:rPr>
        <w:t>依职责加强药品生产、流通环节监管，严厉打击倒卖药品等违法行为；税务部门</w:t>
      </w:r>
      <w:r>
        <w:rPr>
          <w:rFonts w:hint="eastAsia" w:ascii="仿宋_GB2312" w:eastAsia="仿宋_GB2312"/>
          <w:sz w:val="32"/>
          <w:szCs w:val="32"/>
          <w:lang w:eastAsia="zh-CN"/>
        </w:rPr>
        <w:t>负责</w:t>
      </w:r>
      <w:r>
        <w:rPr>
          <w:rFonts w:hint="eastAsia" w:ascii="仿宋_GB2312" w:eastAsia="仿宋_GB2312"/>
          <w:sz w:val="32"/>
          <w:szCs w:val="32"/>
        </w:rPr>
        <w:t>做好职工医保费的征收工作。</w:t>
      </w:r>
    </w:p>
    <w:p>
      <w:pPr>
        <w:pStyle w:val="3"/>
        <w:keepNext w:val="0"/>
        <w:keepLines w:val="0"/>
        <w:pageBreakBefore w:val="0"/>
        <w:widowControl w:val="0"/>
        <w:shd w:val="clear" w:color="auto" w:fill="auto"/>
        <w:kinsoku/>
        <w:wordWrap/>
        <w:overflowPunct/>
        <w:topLinePunct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Style w:val="6"/>
          <w:rFonts w:hint="eastAsia" w:ascii="黑体" w:hAnsi="黑体" w:eastAsia="黑体" w:cs="黑体"/>
          <w:b w:val="0"/>
          <w:bCs/>
          <w:spacing w:val="8"/>
          <w:sz w:val="32"/>
          <w:szCs w:val="32"/>
          <w:shd w:val="clear" w:color="auto" w:fill="FFFFFF"/>
          <w:lang w:eastAsia="zh-CN"/>
        </w:rPr>
      </w:pPr>
      <w:r>
        <w:rPr>
          <w:rStyle w:val="6"/>
          <w:rFonts w:hint="eastAsia" w:ascii="黑体" w:hAnsi="黑体" w:eastAsia="黑体" w:cs="黑体"/>
          <w:b w:val="0"/>
          <w:bCs/>
          <w:spacing w:val="8"/>
          <w:sz w:val="32"/>
          <w:szCs w:val="32"/>
          <w:shd w:val="clear" w:color="auto" w:fill="FFFFFF"/>
        </w:rPr>
        <w:t>第</w:t>
      </w:r>
      <w:r>
        <w:rPr>
          <w:rStyle w:val="6"/>
          <w:rFonts w:hint="eastAsia" w:ascii="黑体" w:hAnsi="黑体" w:eastAsia="黑体" w:cs="黑体"/>
          <w:b w:val="0"/>
          <w:bCs/>
          <w:spacing w:val="8"/>
          <w:sz w:val="32"/>
          <w:szCs w:val="32"/>
          <w:shd w:val="clear" w:color="auto" w:fill="FFFFFF"/>
          <w:lang w:val="en-US" w:eastAsia="zh-CN"/>
        </w:rPr>
        <w:t>二</w:t>
      </w:r>
      <w:r>
        <w:rPr>
          <w:rStyle w:val="6"/>
          <w:rFonts w:hint="eastAsia" w:ascii="黑体" w:hAnsi="黑体" w:eastAsia="黑体" w:cs="黑体"/>
          <w:b w:val="0"/>
          <w:bCs/>
          <w:spacing w:val="8"/>
          <w:sz w:val="32"/>
          <w:szCs w:val="32"/>
          <w:shd w:val="clear" w:color="auto" w:fill="FFFFFF"/>
        </w:rPr>
        <w:t>章</w:t>
      </w:r>
      <w:r>
        <w:rPr>
          <w:rStyle w:val="6"/>
          <w:rFonts w:hint="eastAsia" w:ascii="黑体" w:hAnsi="黑体" w:eastAsia="黑体" w:cs="黑体"/>
          <w:b w:val="0"/>
          <w:bCs/>
          <w:spacing w:val="8"/>
          <w:sz w:val="32"/>
          <w:szCs w:val="32"/>
          <w:shd w:val="clear" w:color="auto" w:fill="FFFFFF"/>
          <w:lang w:val="en-US" w:eastAsia="zh-CN"/>
        </w:rPr>
        <w:t xml:space="preserve">  </w:t>
      </w:r>
      <w:r>
        <w:rPr>
          <w:rStyle w:val="6"/>
          <w:rFonts w:hint="eastAsia" w:ascii="黑体" w:hAnsi="黑体" w:eastAsia="黑体" w:cs="黑体"/>
          <w:b w:val="0"/>
          <w:bCs/>
          <w:spacing w:val="8"/>
          <w:sz w:val="32"/>
          <w:szCs w:val="32"/>
          <w:shd w:val="clear" w:color="auto" w:fill="FFFFFF"/>
        </w:rPr>
        <w:t>个人账户</w:t>
      </w:r>
      <w:r>
        <w:rPr>
          <w:rStyle w:val="6"/>
          <w:rFonts w:hint="eastAsia" w:ascii="黑体" w:hAnsi="黑体" w:eastAsia="黑体" w:cs="黑体"/>
          <w:b w:val="0"/>
          <w:bCs/>
          <w:spacing w:val="8"/>
          <w:sz w:val="32"/>
          <w:szCs w:val="32"/>
          <w:shd w:val="clear" w:color="auto" w:fill="FFFFFF"/>
          <w:lang w:eastAsia="zh-CN"/>
        </w:rPr>
        <w:t>管理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760" w:firstLineChars="200"/>
        <w:jc w:val="both"/>
        <w:textAlignment w:val="auto"/>
        <w:rPr>
          <w:rFonts w:hint="eastAsia" w:ascii="仿宋_GB2312" w:eastAsia="仿宋_GB2312"/>
          <w:sz w:val="32"/>
          <w:szCs w:val="32"/>
        </w:rPr>
      </w:pPr>
      <w:r>
        <w:rPr>
          <w:rFonts w:hint="eastAsia" w:ascii="黑体" w:hAnsi="黑体" w:eastAsia="黑体" w:cs="黑体"/>
          <w:i w:val="0"/>
          <w:iCs w:val="0"/>
          <w:caps w:val="0"/>
          <w:color w:val="auto"/>
          <w:spacing w:val="30"/>
          <w:sz w:val="32"/>
          <w:szCs w:val="32"/>
          <w:u w:val="none"/>
          <w:shd w:val="clear" w:color="auto" w:fill="FFFFFF"/>
          <w:lang w:eastAsia="zh-CN"/>
        </w:rPr>
        <w:t>第六条</w:t>
      </w:r>
      <w:r>
        <w:rPr>
          <w:rFonts w:hint="eastAsia" w:ascii="黑体" w:hAnsi="黑体" w:eastAsia="黑体" w:cs="黑体"/>
          <w:i w:val="0"/>
          <w:iCs w:val="0"/>
          <w:caps w:val="0"/>
          <w:color w:val="auto"/>
          <w:spacing w:val="30"/>
          <w:sz w:val="32"/>
          <w:szCs w:val="32"/>
          <w:u w:val="none"/>
          <w:shd w:val="clear" w:color="auto" w:fill="FFFFFF"/>
          <w:lang w:val="en-US" w:eastAsia="zh-CN"/>
        </w:rPr>
        <w:t xml:space="preserve"> </w:t>
      </w:r>
      <w:r>
        <w:rPr>
          <w:rFonts w:hint="eastAsia" w:ascii="仿宋_GB2312" w:eastAsia="仿宋_GB2312"/>
          <w:sz w:val="32"/>
          <w:szCs w:val="32"/>
        </w:rPr>
        <w:t>用人单位在职职工个人账户计入标准按本人参保缴费基数的2%确定，单位缴纳的基本医疗保险费全部计入统筹基金；退休人员个人账户原则上由统筹基金按定额划入，划入标准按</w:t>
      </w:r>
      <w:r>
        <w:rPr>
          <w:rFonts w:hint="eastAsia" w:ascii="仿宋_GB2312" w:eastAsia="仿宋_GB2312"/>
          <w:sz w:val="32"/>
          <w:szCs w:val="32"/>
          <w:lang w:eastAsia="zh-CN"/>
        </w:rPr>
        <w:t>我市</w:t>
      </w:r>
      <w:r>
        <w:rPr>
          <w:rFonts w:hint="eastAsia" w:ascii="仿宋_GB2312" w:eastAsia="仿宋_GB2312"/>
          <w:sz w:val="32"/>
          <w:szCs w:val="32"/>
        </w:rPr>
        <w:t>2021年基本养老金平均水平的2.5%确定。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760" w:firstLineChars="200"/>
        <w:jc w:val="both"/>
        <w:textAlignment w:val="auto"/>
        <w:rPr>
          <w:rFonts w:hint="eastAsia" w:ascii="仿宋_GB2312" w:eastAsia="仿宋_GB2312"/>
          <w:sz w:val="32"/>
          <w:szCs w:val="32"/>
          <w:lang w:eastAsia="zh-CN"/>
        </w:rPr>
      </w:pPr>
      <w:r>
        <w:rPr>
          <w:rFonts w:hint="eastAsia" w:ascii="黑体" w:hAnsi="黑体" w:eastAsia="黑体" w:cs="黑体"/>
          <w:i w:val="0"/>
          <w:iCs w:val="0"/>
          <w:caps w:val="0"/>
          <w:color w:val="auto"/>
          <w:spacing w:val="30"/>
          <w:kern w:val="2"/>
          <w:sz w:val="32"/>
          <w:szCs w:val="32"/>
          <w:u w:val="none"/>
          <w:shd w:val="clear" w:color="auto" w:fill="FFFFFF"/>
          <w:lang w:val="en-US" w:eastAsia="zh-CN" w:bidi="ar-SA"/>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以单建统筹方式参加职工医保的人员，</w:t>
      </w:r>
      <w:r>
        <w:rPr>
          <w:rFonts w:hint="eastAsia" w:ascii="仿宋_GB2312" w:eastAsia="仿宋_GB2312"/>
          <w:sz w:val="32"/>
          <w:szCs w:val="32"/>
          <w:lang w:eastAsia="zh-CN"/>
        </w:rPr>
        <w:t>原则上不设个人账户，不给予门诊和购药补助</w:t>
      </w:r>
      <w:r>
        <w:rPr>
          <w:rFonts w:hint="eastAsia" w:ascii="仿宋_GB2312" w:eastAsia="仿宋_GB2312"/>
          <w:sz w:val="32"/>
          <w:szCs w:val="32"/>
        </w:rPr>
        <w:t>。因流动就业、就业状态变化等在不同时间段分别以统账结合、单建统筹方式参加职工医保的人员，退休后可</w:t>
      </w:r>
      <w:r>
        <w:rPr>
          <w:rFonts w:hint="eastAsia" w:ascii="仿宋_GB2312" w:eastAsia="仿宋_GB2312"/>
          <w:sz w:val="32"/>
          <w:szCs w:val="32"/>
          <w:lang w:eastAsia="zh-CN"/>
        </w:rPr>
        <w:t>设立个人账户，按照统账结合方式参保的退休人员的</w:t>
      </w:r>
      <w:r>
        <w:rPr>
          <w:rFonts w:hint="eastAsia" w:ascii="仿宋_GB2312" w:eastAsia="仿宋_GB2312"/>
          <w:sz w:val="32"/>
          <w:szCs w:val="32"/>
          <w:lang w:val="en-US" w:eastAsia="zh-CN"/>
        </w:rPr>
        <w:t>50%</w:t>
      </w:r>
      <w:r>
        <w:rPr>
          <w:rFonts w:hint="eastAsia" w:ascii="仿宋_GB2312" w:eastAsia="仿宋_GB2312"/>
          <w:sz w:val="32"/>
          <w:szCs w:val="32"/>
          <w:lang w:eastAsia="zh-CN"/>
        </w:rPr>
        <w:t>标准计入个人账户</w:t>
      </w:r>
      <w:r>
        <w:rPr>
          <w:rFonts w:hint="eastAsia" w:ascii="仿宋_GB2312" w:eastAsia="仿宋_GB2312"/>
          <w:sz w:val="32"/>
          <w:szCs w:val="32"/>
          <w:lang w:val="en-US" w:eastAsia="zh-CN"/>
        </w:rPr>
        <w:t>。</w:t>
      </w:r>
    </w:p>
    <w:p>
      <w:pPr>
        <w:pStyle w:val="3"/>
        <w:keepNext w:val="0"/>
        <w:keepLines w:val="0"/>
        <w:pageBreakBefore w:val="0"/>
        <w:widowControl w:val="0"/>
        <w:numPr>
          <w:ilvl w:val="0"/>
          <w:numId w:val="0"/>
        </w:numPr>
        <w:shd w:val="clear" w:color="auto" w:fill="auto"/>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_GB2312" w:eastAsia="仿宋_GB2312" w:cs="Times New Roman"/>
          <w:sz w:val="32"/>
          <w:szCs w:val="32"/>
          <w:lang w:val="en-US" w:eastAsia="zh-CN"/>
        </w:rPr>
      </w:pPr>
      <w:r>
        <w:rPr>
          <w:rFonts w:hint="eastAsia" w:ascii="黑体" w:hAnsi="黑体" w:eastAsia="黑体" w:cs="黑体"/>
          <w:color w:val="auto"/>
          <w:sz w:val="32"/>
          <w:szCs w:val="32"/>
          <w:u w:val="none"/>
          <w:lang w:val="en-US" w:eastAsia="zh-CN"/>
        </w:rPr>
        <w:t xml:space="preserve">第八条 </w:t>
      </w:r>
      <w:r>
        <w:rPr>
          <w:rFonts w:hint="eastAsia" w:ascii="仿宋_GB2312" w:eastAsia="仿宋_GB2312" w:cs="Times New Roman"/>
          <w:sz w:val="32"/>
          <w:szCs w:val="32"/>
          <w:lang w:val="en-US" w:eastAsia="zh-CN"/>
        </w:rPr>
        <w:t>参保人员达到法定退休年龄，累计缴费年限达到本市规定年限或按规定补缴的，从次月起为其变更个人账户计入比例。</w:t>
      </w:r>
    </w:p>
    <w:p>
      <w:pPr>
        <w:spacing w:line="560" w:lineRule="exact"/>
        <w:ind w:firstLine="760" w:firstLineChars="200"/>
        <w:rPr>
          <w:rFonts w:hint="eastAsia" w:ascii="仿宋_GB2312" w:eastAsia="仿宋_GB2312"/>
          <w:sz w:val="32"/>
          <w:szCs w:val="32"/>
          <w:lang w:eastAsia="zh-CN"/>
        </w:rPr>
      </w:pPr>
      <w:r>
        <w:rPr>
          <w:rFonts w:hint="eastAsia" w:ascii="黑体" w:hAnsi="黑体" w:eastAsia="黑体" w:cs="黑体"/>
          <w:i w:val="0"/>
          <w:iCs w:val="0"/>
          <w:caps w:val="0"/>
          <w:color w:val="auto"/>
          <w:spacing w:val="30"/>
          <w:sz w:val="32"/>
          <w:szCs w:val="32"/>
          <w:u w:val="none"/>
          <w:shd w:val="clear" w:color="auto" w:fill="FFFFFF"/>
          <w:lang w:val="en-US" w:eastAsia="zh-CN"/>
        </w:rPr>
        <w:t xml:space="preserve">第九条 </w:t>
      </w:r>
      <w:r>
        <w:rPr>
          <w:rFonts w:hint="eastAsia" w:ascii="仿宋_GB2312" w:eastAsia="仿宋_GB2312"/>
          <w:sz w:val="32"/>
          <w:szCs w:val="32"/>
        </w:rPr>
        <w:t>个人账户主要用于支付</w:t>
      </w:r>
      <w:r>
        <w:rPr>
          <w:rFonts w:hint="eastAsia" w:ascii="仿宋_GB2312" w:eastAsia="仿宋_GB2312"/>
          <w:sz w:val="32"/>
          <w:szCs w:val="32"/>
          <w:lang w:eastAsia="zh-CN"/>
        </w:rPr>
        <w:t>下列费用：</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参保人员在定点医疗机构或定点零售药店</w:t>
      </w:r>
      <w:r>
        <w:rPr>
          <w:rFonts w:hint="eastAsia" w:ascii="仿宋_GB2312" w:eastAsia="仿宋_GB2312"/>
          <w:sz w:val="32"/>
          <w:szCs w:val="32"/>
          <w:lang w:eastAsia="zh-CN"/>
        </w:rPr>
        <w:t>就医</w:t>
      </w:r>
      <w:r>
        <w:rPr>
          <w:rFonts w:hint="eastAsia" w:ascii="仿宋_GB2312" w:eastAsia="仿宋_GB2312"/>
          <w:sz w:val="32"/>
          <w:szCs w:val="32"/>
        </w:rPr>
        <w:t>发生的政策范围内自付费用</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color w:val="000000"/>
          <w:sz w:val="32"/>
          <w:szCs w:val="32"/>
          <w:lang w:eastAsia="zh-CN"/>
        </w:rPr>
        <w:t>在实现信息系统支撑的前提下，可用于</w:t>
      </w:r>
      <w:r>
        <w:rPr>
          <w:rFonts w:hint="eastAsia" w:ascii="仿宋_GB2312" w:eastAsia="仿宋_GB2312"/>
          <w:sz w:val="32"/>
          <w:szCs w:val="32"/>
        </w:rPr>
        <w:t>参保人员本人及其配偶、父母、子女在定点医疗机构就医发生的由个人负担的医疗费用，以及在定点零售药店购买药品、医疗器械、医用耗材发生的由个人负担的费用</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eastAsia="zh-CN"/>
        </w:rPr>
        <w:t>（三）</w:t>
      </w:r>
      <w:r>
        <w:rPr>
          <w:rFonts w:hint="eastAsia" w:ascii="仿宋_GB2312" w:eastAsia="仿宋_GB2312"/>
          <w:color w:val="000000"/>
          <w:sz w:val="32"/>
          <w:szCs w:val="32"/>
          <w:lang w:eastAsia="zh-CN"/>
        </w:rPr>
        <w:t>可</w:t>
      </w:r>
      <w:r>
        <w:rPr>
          <w:rFonts w:hint="eastAsia" w:ascii="仿宋_GB2312" w:eastAsia="仿宋_GB2312"/>
          <w:color w:val="000000"/>
          <w:sz w:val="32"/>
          <w:szCs w:val="32"/>
        </w:rPr>
        <w:t>用于</w:t>
      </w:r>
      <w:r>
        <w:rPr>
          <w:rFonts w:hint="eastAsia" w:ascii="仿宋_GB2312" w:eastAsia="仿宋_GB2312"/>
          <w:color w:val="000000"/>
          <w:sz w:val="32"/>
          <w:szCs w:val="32"/>
          <w:lang w:eastAsia="zh-CN"/>
        </w:rPr>
        <w:t>参保人员</w:t>
      </w:r>
      <w:r>
        <w:rPr>
          <w:rFonts w:hint="eastAsia" w:ascii="仿宋_GB2312" w:eastAsia="仿宋_GB2312"/>
          <w:color w:val="000000"/>
          <w:sz w:val="32"/>
          <w:szCs w:val="32"/>
        </w:rPr>
        <w:t>本人参加</w:t>
      </w:r>
      <w:r>
        <w:rPr>
          <w:rFonts w:hint="eastAsia" w:ascii="仿宋_GB2312" w:eastAsia="仿宋_GB2312"/>
          <w:color w:val="000000"/>
          <w:sz w:val="32"/>
          <w:szCs w:val="32"/>
          <w:lang w:eastAsia="zh-CN"/>
        </w:rPr>
        <w:t>我市</w:t>
      </w:r>
      <w:r>
        <w:rPr>
          <w:rFonts w:hint="eastAsia" w:ascii="仿宋_GB2312" w:eastAsia="仿宋_GB2312"/>
          <w:color w:val="000000"/>
          <w:sz w:val="32"/>
          <w:szCs w:val="32"/>
        </w:rPr>
        <w:t>职工大额医疗费用补助、长期护理保险等个人缴费，以及配偶、父母、子女参加</w:t>
      </w:r>
      <w:r>
        <w:rPr>
          <w:rFonts w:hint="eastAsia" w:ascii="仿宋_GB2312" w:eastAsia="仿宋_GB2312"/>
          <w:color w:val="000000"/>
          <w:sz w:val="32"/>
          <w:szCs w:val="32"/>
          <w:lang w:eastAsia="zh-CN"/>
        </w:rPr>
        <w:t>我市</w:t>
      </w:r>
      <w:r>
        <w:rPr>
          <w:rFonts w:hint="eastAsia" w:ascii="仿宋_GB2312" w:eastAsia="仿宋_GB2312"/>
          <w:color w:val="000000"/>
          <w:sz w:val="32"/>
          <w:szCs w:val="32"/>
        </w:rPr>
        <w:t>城乡居民基本医疗保险、职工大额医疗费用补助、长期护理保险等个人缴费。</w:t>
      </w:r>
    </w:p>
    <w:p>
      <w:pPr>
        <w:spacing w:line="560" w:lineRule="exact"/>
        <w:ind w:firstLine="760" w:firstLineChars="200"/>
        <w:rPr>
          <w:rFonts w:hint="eastAsia" w:ascii="仿宋_GB2312" w:eastAsia="仿宋_GB2312"/>
          <w:sz w:val="32"/>
          <w:szCs w:val="32"/>
        </w:rPr>
      </w:pPr>
      <w:r>
        <w:rPr>
          <w:rFonts w:hint="eastAsia" w:ascii="黑体" w:hAnsi="黑体" w:eastAsia="黑体" w:cs="黑体"/>
          <w:i w:val="0"/>
          <w:iCs w:val="0"/>
          <w:caps w:val="0"/>
          <w:color w:val="auto"/>
          <w:spacing w:val="30"/>
          <w:sz w:val="32"/>
          <w:szCs w:val="32"/>
          <w:u w:val="none"/>
          <w:shd w:val="clear" w:color="auto" w:fill="FFFFFF"/>
          <w:lang w:val="en-US" w:eastAsia="zh-CN"/>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个人账户</w:t>
      </w:r>
      <w:r>
        <w:rPr>
          <w:rFonts w:hint="eastAsia" w:ascii="仿宋_GB2312" w:eastAsia="仿宋_GB2312"/>
          <w:sz w:val="32"/>
          <w:szCs w:val="32"/>
          <w:lang w:eastAsia="zh-CN"/>
        </w:rPr>
        <w:t>资金</w:t>
      </w:r>
      <w:r>
        <w:rPr>
          <w:rFonts w:hint="eastAsia" w:ascii="仿宋_GB2312" w:eastAsia="仿宋_GB2312"/>
          <w:sz w:val="32"/>
          <w:szCs w:val="32"/>
        </w:rPr>
        <w:t>不得用于公共卫生费用、体育健身或养生保健消费等不属于基本医疗保险保障范围的支出。</w:t>
      </w:r>
    </w:p>
    <w:p>
      <w:pPr>
        <w:pStyle w:val="3"/>
        <w:keepNext w:val="0"/>
        <w:keepLines w:val="0"/>
        <w:pageBreakBefore w:val="0"/>
        <w:widowControl w:val="0"/>
        <w:shd w:val="clear" w:color="auto" w:fill="auto"/>
        <w:kinsoku/>
        <w:wordWrap/>
        <w:overflowPunct/>
        <w:topLinePunct w:val="0"/>
        <w:bidi w:val="0"/>
        <w:snapToGrid/>
        <w:spacing w:before="0" w:beforeAutospacing="0" w:after="0" w:afterAutospacing="0" w:line="560" w:lineRule="exact"/>
        <w:ind w:firstLine="76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i w:val="0"/>
          <w:iCs w:val="0"/>
          <w:caps w:val="0"/>
          <w:color w:val="auto"/>
          <w:spacing w:val="30"/>
          <w:sz w:val="32"/>
          <w:szCs w:val="32"/>
          <w:u w:val="none"/>
          <w:shd w:val="clear" w:color="auto" w:fill="FFFFFF"/>
          <w:lang w:val="en-US" w:eastAsia="zh-CN"/>
        </w:rPr>
        <w:t xml:space="preserve">第十一条 </w:t>
      </w:r>
      <w:r>
        <w:rPr>
          <w:rFonts w:hint="eastAsia" w:ascii="仿宋_GB2312" w:hAnsi="仿宋_GB2312" w:eastAsia="仿宋_GB2312" w:cs="仿宋_GB2312"/>
          <w:color w:val="auto"/>
          <w:sz w:val="32"/>
          <w:szCs w:val="32"/>
          <w:u w:val="none"/>
          <w:lang w:eastAsia="zh-CN"/>
        </w:rPr>
        <w:t>个人账户资金可以结转使用和继承。职工医保关系迁移到其他统筹地区的，个人账户随其</w:t>
      </w:r>
      <w:r>
        <w:rPr>
          <w:rFonts w:hint="eastAsia" w:ascii="仿宋_GB2312" w:hAnsi="仿宋_GB2312" w:eastAsia="仿宋_GB2312" w:cs="仿宋_GB2312"/>
          <w:color w:val="auto"/>
          <w:sz w:val="32"/>
          <w:szCs w:val="32"/>
          <w:highlight w:val="none"/>
          <w:u w:val="none"/>
          <w:lang w:eastAsia="zh-CN"/>
        </w:rPr>
        <w:t>医保关系</w:t>
      </w:r>
      <w:r>
        <w:rPr>
          <w:rFonts w:hint="eastAsia" w:ascii="仿宋_GB2312" w:hAnsi="仿宋_GB2312" w:eastAsia="仿宋_GB2312" w:cs="仿宋_GB2312"/>
          <w:color w:val="auto"/>
          <w:sz w:val="32"/>
          <w:szCs w:val="32"/>
          <w:u w:val="none"/>
          <w:lang w:eastAsia="zh-CN"/>
        </w:rPr>
        <w:t>转移划转；</w:t>
      </w:r>
      <w:r>
        <w:rPr>
          <w:rFonts w:hint="eastAsia" w:ascii="仿宋_GB2312" w:eastAsia="仿宋_GB2312"/>
          <w:sz w:val="32"/>
          <w:szCs w:val="32"/>
        </w:rPr>
        <w:t>对于出国、出境定居的职工医保参保人员，个人账户余额经本人申请可支付给本人；参保职工死亡的，其个人账户余额可一次性支付给其法定继承人或指定受益人。</w:t>
      </w:r>
    </w:p>
    <w:p>
      <w:pPr>
        <w:pStyle w:val="3"/>
        <w:keepNext w:val="0"/>
        <w:keepLines w:val="0"/>
        <w:pageBreakBefore w:val="0"/>
        <w:widowControl w:val="0"/>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ind w:firstLine="0" w:firstLineChars="0"/>
        <w:jc w:val="center"/>
        <w:textAlignment w:val="auto"/>
        <w:rPr>
          <w:rStyle w:val="6"/>
          <w:rFonts w:hint="eastAsia" w:ascii="黑体" w:hAnsi="黑体" w:eastAsia="黑体" w:cs="黑体"/>
          <w:b w:val="0"/>
          <w:bCs/>
          <w:spacing w:val="8"/>
          <w:sz w:val="32"/>
          <w:szCs w:val="32"/>
          <w:shd w:val="clear" w:color="auto" w:fill="FFFFFF"/>
        </w:rPr>
      </w:pPr>
    </w:p>
    <w:p>
      <w:pPr>
        <w:pStyle w:val="3"/>
        <w:keepNext w:val="0"/>
        <w:keepLines w:val="0"/>
        <w:pageBreakBefore w:val="0"/>
        <w:widowControl w:val="0"/>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ind w:firstLine="0" w:firstLineChars="0"/>
        <w:jc w:val="center"/>
        <w:textAlignment w:val="auto"/>
        <w:rPr>
          <w:rStyle w:val="6"/>
          <w:rFonts w:hint="eastAsia" w:ascii="黑体" w:hAnsi="黑体" w:eastAsia="黑体" w:cs="黑体"/>
          <w:b w:val="0"/>
          <w:bCs/>
          <w:spacing w:val="8"/>
          <w:sz w:val="32"/>
          <w:szCs w:val="32"/>
          <w:shd w:val="clear" w:color="auto" w:fill="FFFFFF"/>
          <w:lang w:eastAsia="zh-CN"/>
        </w:rPr>
      </w:pPr>
      <w:r>
        <w:rPr>
          <w:rStyle w:val="6"/>
          <w:rFonts w:hint="eastAsia" w:ascii="黑体" w:hAnsi="黑体" w:eastAsia="黑体" w:cs="黑体"/>
          <w:b w:val="0"/>
          <w:bCs/>
          <w:spacing w:val="8"/>
          <w:sz w:val="32"/>
          <w:szCs w:val="32"/>
          <w:shd w:val="clear" w:color="auto" w:fill="FFFFFF"/>
        </w:rPr>
        <w:t>第</w:t>
      </w:r>
      <w:r>
        <w:rPr>
          <w:rStyle w:val="6"/>
          <w:rFonts w:hint="eastAsia" w:ascii="黑体" w:hAnsi="黑体" w:eastAsia="黑体" w:cs="黑体"/>
          <w:b w:val="0"/>
          <w:bCs/>
          <w:spacing w:val="8"/>
          <w:sz w:val="32"/>
          <w:szCs w:val="32"/>
          <w:shd w:val="clear" w:color="auto" w:fill="FFFFFF"/>
          <w:lang w:val="en-US" w:eastAsia="zh-CN"/>
        </w:rPr>
        <w:t>三</w:t>
      </w:r>
      <w:r>
        <w:rPr>
          <w:rStyle w:val="6"/>
          <w:rFonts w:hint="eastAsia" w:ascii="黑体" w:hAnsi="黑体" w:eastAsia="黑体" w:cs="黑体"/>
          <w:b w:val="0"/>
          <w:bCs/>
          <w:spacing w:val="8"/>
          <w:sz w:val="32"/>
          <w:szCs w:val="32"/>
          <w:shd w:val="clear" w:color="auto" w:fill="FFFFFF"/>
        </w:rPr>
        <w:t xml:space="preserve">章 </w:t>
      </w:r>
      <w:r>
        <w:rPr>
          <w:rStyle w:val="6"/>
          <w:rFonts w:hint="eastAsia" w:ascii="黑体" w:hAnsi="黑体" w:eastAsia="黑体" w:cs="黑体"/>
          <w:b w:val="0"/>
          <w:bCs/>
          <w:spacing w:val="8"/>
          <w:sz w:val="32"/>
          <w:szCs w:val="32"/>
          <w:shd w:val="clear" w:color="auto" w:fill="FFFFFF"/>
          <w:lang w:val="en-US" w:eastAsia="zh-CN"/>
        </w:rPr>
        <w:t xml:space="preserve"> </w:t>
      </w:r>
      <w:r>
        <w:rPr>
          <w:rStyle w:val="6"/>
          <w:rFonts w:hint="eastAsia" w:ascii="黑体" w:hAnsi="黑体" w:eastAsia="黑体" w:cs="黑体"/>
          <w:b w:val="0"/>
          <w:bCs/>
          <w:spacing w:val="8"/>
          <w:sz w:val="32"/>
          <w:szCs w:val="32"/>
          <w:shd w:val="clear" w:color="auto" w:fill="FFFFFF"/>
        </w:rPr>
        <w:t>门诊共济</w:t>
      </w:r>
      <w:r>
        <w:rPr>
          <w:rStyle w:val="6"/>
          <w:rFonts w:hint="eastAsia" w:ascii="黑体" w:hAnsi="黑体" w:eastAsia="黑体" w:cs="黑体"/>
          <w:b w:val="0"/>
          <w:bCs/>
          <w:spacing w:val="8"/>
          <w:sz w:val="32"/>
          <w:szCs w:val="32"/>
          <w:shd w:val="clear" w:color="auto" w:fill="FFFFFF"/>
          <w:lang w:eastAsia="zh-CN"/>
        </w:rPr>
        <w:t>保障待遇</w:t>
      </w:r>
    </w:p>
    <w:p>
      <w:pPr>
        <w:keepNext w:val="0"/>
        <w:keepLines w:val="0"/>
        <w:pageBreakBefore w:val="0"/>
        <w:widowControl w:val="0"/>
        <w:suppressLineNumbers w:val="0"/>
        <w:shd w:val="clear" w:color="auto" w:fill="auto"/>
        <w:kinsoku/>
        <w:wordWrap/>
        <w:overflowPunct/>
        <w:topLinePunct w:val="0"/>
        <w:bidi w:val="0"/>
        <w:snapToGrid/>
        <w:spacing w:line="560" w:lineRule="exact"/>
        <w:ind w:firstLine="76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i w:val="0"/>
          <w:iCs w:val="0"/>
          <w:caps w:val="0"/>
          <w:color w:val="auto"/>
          <w:spacing w:val="30"/>
          <w:sz w:val="32"/>
          <w:szCs w:val="32"/>
          <w:u w:val="none"/>
          <w:shd w:val="clear" w:color="auto" w:fill="FFFFFF"/>
          <w:lang w:val="en-US" w:eastAsia="zh-CN"/>
        </w:rPr>
        <w:t xml:space="preserve">第十二条 </w:t>
      </w:r>
      <w:r>
        <w:rPr>
          <w:rFonts w:hint="eastAsia" w:ascii="仿宋_GB2312" w:eastAsia="仿宋_GB2312"/>
          <w:sz w:val="32"/>
          <w:szCs w:val="32"/>
        </w:rPr>
        <w:t>建立职工医保普通门诊统筹，普通门诊医疗费用纳入职工医保统筹基金支付范围</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u w:val="none"/>
          <w:lang w:val="en-US" w:eastAsia="zh-CN"/>
        </w:rPr>
        <w:t>职工医保门诊统筹所需资金由职工基本医疗保险统筹基金支出，用人单位及职工医保参保人员不再另行缴费。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76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 xml:space="preserve">第十三条 </w:t>
      </w:r>
      <w:r>
        <w:rPr>
          <w:rFonts w:hint="eastAsia" w:ascii="仿宋_GB2312" w:hAnsi="仿宋_GB2312" w:eastAsia="仿宋_GB2312" w:cs="仿宋_GB2312"/>
          <w:color w:val="auto"/>
          <w:sz w:val="32"/>
          <w:szCs w:val="32"/>
          <w:u w:val="none"/>
          <w:lang w:eastAsia="zh-CN"/>
        </w:rPr>
        <w:t>普通门诊统筹执行国家、省基本医疗保险药品目录、诊疗项目</w:t>
      </w:r>
      <w:r>
        <w:rPr>
          <w:rFonts w:ascii="仿宋_GB2312" w:hAnsi="仿宋_GB2312" w:eastAsia="仿宋_GB2312" w:cs="仿宋_GB2312"/>
          <w:color w:val="000000"/>
          <w:kern w:val="0"/>
          <w:sz w:val="32"/>
          <w:szCs w:val="32"/>
          <w:lang w:val="en-US" w:eastAsia="zh-CN" w:bidi="ar"/>
        </w:rPr>
        <w:t>、医疗服务设施范围和支付标准</w:t>
      </w:r>
      <w:r>
        <w:rPr>
          <w:rFonts w:hint="eastAsia" w:ascii="仿宋_GB2312" w:hAnsi="仿宋_GB2312" w:eastAsia="仿宋_GB2312" w:cs="仿宋_GB2312"/>
          <w:color w:val="auto"/>
          <w:sz w:val="32"/>
          <w:szCs w:val="32"/>
          <w:u w:val="none"/>
          <w:lang w:eastAsia="zh-CN"/>
        </w:rPr>
        <w:t>及价格政策等规定。</w:t>
      </w:r>
    </w:p>
    <w:p>
      <w:pPr>
        <w:keepNext w:val="0"/>
        <w:keepLines w:val="0"/>
        <w:pageBreakBefore w:val="0"/>
        <w:widowControl w:val="0"/>
        <w:suppressLineNumbers w:val="0"/>
        <w:shd w:val="clear" w:color="auto" w:fill="auto"/>
        <w:kinsoku/>
        <w:wordWrap/>
        <w:overflowPunct/>
        <w:topLinePunct w:val="0"/>
        <w:bidi w:val="0"/>
        <w:snapToGrid/>
        <w:spacing w:line="560" w:lineRule="exact"/>
        <w:ind w:firstLine="760" w:firstLineChars="200"/>
        <w:jc w:val="left"/>
        <w:textAlignment w:val="auto"/>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 xml:space="preserve">第十四条 </w:t>
      </w:r>
      <w:r>
        <w:rPr>
          <w:rFonts w:hint="eastAsia" w:ascii="仿宋_GB2312" w:hAnsi="仿宋_GB2312" w:eastAsia="仿宋_GB2312" w:cs="仿宋_GB2312"/>
          <w:b w:val="0"/>
          <w:i w:val="0"/>
          <w:caps w:val="0"/>
          <w:color w:val="000000"/>
          <w:spacing w:val="0"/>
          <w:sz w:val="32"/>
          <w:szCs w:val="32"/>
          <w:shd w:val="clear" w:color="auto" w:fill="FFFFFF"/>
        </w:rPr>
        <w:t>参保人员</w:t>
      </w:r>
      <w:r>
        <w:rPr>
          <w:rFonts w:hint="eastAsia" w:ascii="仿宋_GB2312" w:hAnsi="仿宋_GB2312" w:eastAsia="仿宋_GB2312" w:cs="仿宋_GB2312"/>
          <w:b w:val="0"/>
          <w:i w:val="0"/>
          <w:caps w:val="0"/>
          <w:color w:val="000000"/>
          <w:spacing w:val="0"/>
          <w:sz w:val="32"/>
          <w:szCs w:val="32"/>
          <w:shd w:val="clear" w:color="auto" w:fill="FFFFFF"/>
          <w:lang w:eastAsia="zh-CN"/>
        </w:rPr>
        <w:t>在</w:t>
      </w:r>
      <w:r>
        <w:rPr>
          <w:rFonts w:hint="eastAsia" w:ascii="仿宋_GB2312" w:eastAsia="仿宋_GB2312"/>
          <w:sz w:val="32"/>
          <w:szCs w:val="32"/>
        </w:rPr>
        <w:t>定点</w:t>
      </w:r>
      <w:r>
        <w:rPr>
          <w:rFonts w:hint="eastAsia" w:ascii="仿宋_GB2312" w:eastAsia="仿宋_GB2312"/>
          <w:sz w:val="32"/>
          <w:szCs w:val="32"/>
          <w:lang w:eastAsia="zh-CN"/>
        </w:rPr>
        <w:t>一级及以上医疗机构、乡镇卫生院、社区服务中心</w:t>
      </w:r>
      <w:r>
        <w:rPr>
          <w:rFonts w:hint="eastAsia" w:ascii="仿宋_GB2312" w:hAnsi="仿宋_GB2312" w:eastAsia="仿宋_GB2312" w:cs="仿宋_GB2312"/>
          <w:b w:val="0"/>
          <w:i w:val="0"/>
          <w:caps w:val="0"/>
          <w:color w:val="000000"/>
          <w:spacing w:val="0"/>
          <w:sz w:val="32"/>
          <w:szCs w:val="32"/>
          <w:shd w:val="clear" w:color="auto" w:fill="FFFFFF"/>
        </w:rPr>
        <w:t>门诊就医，</w:t>
      </w:r>
      <w:r>
        <w:rPr>
          <w:rFonts w:hint="eastAsia" w:ascii="仿宋_GB2312" w:eastAsia="仿宋_GB2312"/>
          <w:sz w:val="32"/>
          <w:szCs w:val="32"/>
        </w:rPr>
        <w:t>发生的属于</w:t>
      </w:r>
      <w:r>
        <w:rPr>
          <w:rFonts w:hint="eastAsia" w:ascii="仿宋_GB2312" w:eastAsia="仿宋_GB2312"/>
          <w:sz w:val="32"/>
          <w:szCs w:val="32"/>
          <w:lang w:eastAsia="zh-CN"/>
        </w:rPr>
        <w:t>基本</w:t>
      </w:r>
      <w:r>
        <w:rPr>
          <w:rFonts w:hint="eastAsia" w:ascii="仿宋_GB2312" w:eastAsia="仿宋_GB2312"/>
          <w:sz w:val="32"/>
          <w:szCs w:val="32"/>
        </w:rPr>
        <w:t>医疗保险药品、诊疗项目、医疗服务设施范围和支付标准范围内的普通门诊医疗费用，一个自然年度内累计超过普通门诊统筹起付标准以上、最高支付限额以下的部分，由</w:t>
      </w:r>
      <w:r>
        <w:rPr>
          <w:rFonts w:hint="eastAsia" w:ascii="仿宋_GB2312" w:eastAsia="仿宋_GB2312"/>
          <w:sz w:val="32"/>
          <w:szCs w:val="32"/>
          <w:lang w:eastAsia="zh-CN"/>
        </w:rPr>
        <w:t>统筹</w:t>
      </w:r>
      <w:r>
        <w:rPr>
          <w:rFonts w:hint="eastAsia" w:ascii="仿宋_GB2312" w:eastAsia="仿宋_GB2312"/>
          <w:sz w:val="32"/>
          <w:szCs w:val="32"/>
        </w:rPr>
        <w:t>基金按比例支付。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760" w:firstLineChars="200"/>
        <w:jc w:val="both"/>
        <w:textAlignment w:val="auto"/>
        <w:rPr>
          <w:rFonts w:hint="eastAsia" w:ascii="黑体" w:hAnsi="黑体" w:eastAsia="黑体" w:cs="黑体"/>
          <w:b w:val="0"/>
          <w:bCs w:val="0"/>
          <w:i w:val="0"/>
          <w:caps w:val="0"/>
          <w:color w:val="000000"/>
          <w:spacing w:val="0"/>
          <w:sz w:val="32"/>
          <w:szCs w:val="32"/>
          <w:shd w:val="clear" w:color="auto" w:fill="FFFFFF"/>
          <w:lang w:val="en-US" w:eastAsia="zh-CN"/>
        </w:rPr>
      </w:pPr>
      <w:r>
        <w:rPr>
          <w:rFonts w:hint="eastAsia" w:ascii="黑体" w:hAnsi="黑体" w:eastAsia="黑体" w:cs="黑体"/>
          <w:i w:val="0"/>
          <w:iCs w:val="0"/>
          <w:caps w:val="0"/>
          <w:color w:val="auto"/>
          <w:spacing w:val="30"/>
          <w:sz w:val="32"/>
          <w:szCs w:val="32"/>
          <w:u w:val="none"/>
          <w:shd w:val="clear" w:color="auto" w:fill="FFFFFF"/>
          <w:lang w:eastAsia="zh-CN"/>
        </w:rPr>
        <w:t>第十五条</w:t>
      </w:r>
      <w:r>
        <w:rPr>
          <w:rFonts w:hint="eastAsia" w:ascii="楷体" w:hAnsi="楷体" w:eastAsia="楷体" w:cs="楷体"/>
          <w:i w:val="0"/>
          <w:iCs w:val="0"/>
          <w:caps w:val="0"/>
          <w:color w:val="auto"/>
          <w:spacing w:val="30"/>
          <w:sz w:val="32"/>
          <w:szCs w:val="32"/>
          <w:u w:val="none"/>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普通门诊统筹起付标准按</w:t>
      </w:r>
      <w:r>
        <w:rPr>
          <w:rFonts w:hint="eastAsia" w:ascii="仿宋_GB2312" w:hAnsi="仿宋_GB2312" w:eastAsia="仿宋_GB2312" w:cs="仿宋_GB2312"/>
          <w:b w:val="0"/>
          <w:i w:val="0"/>
          <w:caps w:val="0"/>
          <w:color w:val="000000"/>
          <w:spacing w:val="0"/>
          <w:sz w:val="32"/>
          <w:szCs w:val="32"/>
          <w:shd w:val="clear" w:color="auto" w:fill="FFFFFF"/>
          <w:lang w:eastAsia="zh-CN"/>
        </w:rPr>
        <w:t>年度</w:t>
      </w:r>
      <w:r>
        <w:rPr>
          <w:rFonts w:hint="eastAsia" w:ascii="仿宋_GB2312" w:hAnsi="仿宋_GB2312" w:eastAsia="仿宋_GB2312" w:cs="仿宋_GB2312"/>
          <w:b w:val="0"/>
          <w:i w:val="0"/>
          <w:caps w:val="0"/>
          <w:color w:val="000000"/>
          <w:spacing w:val="0"/>
          <w:sz w:val="32"/>
          <w:szCs w:val="32"/>
          <w:shd w:val="clear" w:color="auto" w:fill="FFFFFF"/>
        </w:rPr>
        <w:t>设定，</w:t>
      </w:r>
      <w:r>
        <w:rPr>
          <w:rFonts w:hint="eastAsia" w:ascii="仿宋" w:hAnsi="仿宋" w:eastAsia="仿宋" w:cs="仿宋"/>
          <w:sz w:val="32"/>
          <w:szCs w:val="32"/>
          <w:highlight w:val="none"/>
          <w:lang w:val="en-US" w:eastAsia="zh-CN"/>
        </w:rPr>
        <w:t>在一个自然年度内累计计算</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参保人只负担一次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在职人员</w:t>
      </w:r>
      <w:r>
        <w:rPr>
          <w:rFonts w:hint="eastAsia" w:ascii="仿宋" w:hAnsi="仿宋" w:eastAsia="仿宋" w:cs="仿宋"/>
          <w:sz w:val="32"/>
          <w:szCs w:val="32"/>
          <w:highlight w:val="none"/>
        </w:rPr>
        <w:t>起付标准为</w:t>
      </w:r>
      <w:r>
        <w:rPr>
          <w:rFonts w:hint="eastAsia" w:ascii="仿宋" w:hAnsi="仿宋" w:eastAsia="仿宋" w:cs="仿宋"/>
          <w:sz w:val="32"/>
          <w:szCs w:val="32"/>
          <w:highlight w:val="none"/>
          <w:lang w:val="en-US" w:eastAsia="zh-CN"/>
        </w:rPr>
        <w:t>700</w:t>
      </w:r>
      <w:r>
        <w:rPr>
          <w:rFonts w:hint="eastAsia" w:ascii="仿宋" w:hAnsi="仿宋" w:eastAsia="仿宋" w:cs="仿宋"/>
          <w:sz w:val="32"/>
          <w:szCs w:val="32"/>
          <w:highlight w:val="none"/>
        </w:rPr>
        <w:t>元，退休人员起付标准为</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0元。</w:t>
      </w:r>
    </w:p>
    <w:p>
      <w:pPr>
        <w:spacing w:line="560" w:lineRule="exact"/>
        <w:ind w:firstLine="760" w:firstLineChars="200"/>
        <w:rPr>
          <w:rFonts w:hint="eastAsia" w:ascii="仿宋_GB2312" w:eastAsia="仿宋_GB2312"/>
          <w:sz w:val="32"/>
          <w:szCs w:val="32"/>
        </w:rPr>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第十六条</w:t>
      </w:r>
      <w:r>
        <w:rPr>
          <w:rFonts w:hint="eastAsia" w:ascii="仿宋_GB2312" w:eastAsia="仿宋_GB2312"/>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普通门诊统筹</w:t>
      </w:r>
      <w:r>
        <w:rPr>
          <w:rFonts w:hint="eastAsia" w:ascii="仿宋_GB2312" w:eastAsia="仿宋_GB2312"/>
          <w:sz w:val="32"/>
          <w:szCs w:val="32"/>
        </w:rPr>
        <w:t>年度最高支付限额</w:t>
      </w:r>
      <w:r>
        <w:rPr>
          <w:rFonts w:hint="eastAsia" w:ascii="仿宋" w:hAnsi="仿宋" w:eastAsia="仿宋" w:cs="仿宋"/>
          <w:sz w:val="32"/>
          <w:szCs w:val="32"/>
          <w:highlight w:val="none"/>
        </w:rPr>
        <w:t>在职人员为</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00元，退休人员为</w:t>
      </w:r>
      <w:r>
        <w:rPr>
          <w:rFonts w:hint="eastAsia" w:ascii="仿宋" w:hAnsi="仿宋" w:eastAsia="仿宋" w:cs="仿宋"/>
          <w:sz w:val="32"/>
          <w:szCs w:val="32"/>
          <w:highlight w:val="none"/>
          <w:lang w:val="en-US" w:eastAsia="zh-CN"/>
        </w:rPr>
        <w:t>400</w:t>
      </w:r>
      <w:r>
        <w:rPr>
          <w:rFonts w:hint="eastAsia" w:ascii="仿宋" w:hAnsi="仿宋" w:eastAsia="仿宋" w:cs="仿宋"/>
          <w:sz w:val="32"/>
          <w:szCs w:val="32"/>
          <w:highlight w:val="none"/>
        </w:rPr>
        <w:t>0元。支付限额在一个</w:t>
      </w:r>
      <w:r>
        <w:rPr>
          <w:rFonts w:hint="eastAsia" w:ascii="仿宋" w:hAnsi="仿宋" w:eastAsia="仿宋" w:cs="仿宋"/>
          <w:sz w:val="32"/>
          <w:szCs w:val="32"/>
          <w:highlight w:val="none"/>
          <w:lang w:eastAsia="zh-CN"/>
        </w:rPr>
        <w:t>自然</w:t>
      </w:r>
      <w:r>
        <w:rPr>
          <w:rFonts w:hint="eastAsia" w:ascii="仿宋" w:hAnsi="仿宋" w:eastAsia="仿宋" w:cs="仿宋"/>
          <w:sz w:val="32"/>
          <w:szCs w:val="32"/>
          <w:highlight w:val="none"/>
        </w:rPr>
        <w:t>年度内有效，不滚存、不累计</w:t>
      </w:r>
      <w:r>
        <w:rPr>
          <w:rFonts w:hint="eastAsia" w:ascii="仿宋" w:hAnsi="仿宋" w:eastAsia="仿宋" w:cs="仿宋"/>
          <w:sz w:val="32"/>
          <w:szCs w:val="32"/>
          <w:highlight w:val="none"/>
          <w:lang w:eastAsia="zh-CN"/>
        </w:rPr>
        <w:t>，</w:t>
      </w:r>
      <w:r>
        <w:rPr>
          <w:rFonts w:hint="eastAsia" w:ascii="仿宋_GB2312" w:hAnsi="仿宋_GB2312" w:eastAsia="仿宋_GB2312" w:cs="仿宋_GB2312"/>
          <w:b w:val="0"/>
          <w:i w:val="0"/>
          <w:caps w:val="0"/>
          <w:color w:val="000000"/>
          <w:spacing w:val="0"/>
          <w:sz w:val="32"/>
          <w:szCs w:val="32"/>
          <w:u w:val="none"/>
          <w:shd w:val="clear" w:color="auto" w:fill="FFFFFF"/>
        </w:rPr>
        <w:t>不能转让他人使用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参保患者门诊（</w:t>
      </w:r>
      <w:r>
        <w:rPr>
          <w:rFonts w:hint="eastAsia" w:ascii="仿宋_GB2312" w:eastAsia="仿宋_GB2312"/>
          <w:sz w:val="32"/>
          <w:szCs w:val="32"/>
          <w:lang w:eastAsia="zh-CN"/>
        </w:rPr>
        <w:t>紧急抢救</w:t>
      </w:r>
      <w:r>
        <w:rPr>
          <w:rFonts w:hint="eastAsia" w:ascii="仿宋_GB2312" w:eastAsia="仿宋_GB2312"/>
          <w:sz w:val="32"/>
          <w:szCs w:val="32"/>
        </w:rPr>
        <w:t>）确诊需转本院住院的，该次门诊（</w:t>
      </w:r>
      <w:r>
        <w:rPr>
          <w:rFonts w:hint="eastAsia" w:ascii="仿宋_GB2312" w:eastAsia="仿宋_GB2312"/>
          <w:sz w:val="32"/>
          <w:szCs w:val="32"/>
          <w:lang w:eastAsia="zh-CN"/>
        </w:rPr>
        <w:t>紧急抢救</w:t>
      </w:r>
      <w:r>
        <w:rPr>
          <w:rFonts w:hint="eastAsia" w:ascii="仿宋_GB2312" w:eastAsia="仿宋_GB2312"/>
          <w:sz w:val="32"/>
          <w:szCs w:val="32"/>
        </w:rPr>
        <w:t>）的医疗费用并入住院费用。</w:t>
      </w:r>
    </w:p>
    <w:p>
      <w:pPr>
        <w:spacing w:line="560" w:lineRule="exact"/>
        <w:ind w:firstLine="760" w:firstLineChars="200"/>
        <w:rPr>
          <w:rFonts w:ascii="仿宋_GB2312" w:eastAsia="仿宋_GB2312"/>
          <w:sz w:val="32"/>
          <w:szCs w:val="32"/>
        </w:rPr>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第十七条</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普通门诊统筹支付限额</w:t>
      </w:r>
      <w:r>
        <w:rPr>
          <w:rFonts w:hint="eastAsia" w:ascii="仿宋_GB2312" w:eastAsia="仿宋_GB2312"/>
          <w:sz w:val="32"/>
          <w:szCs w:val="32"/>
        </w:rPr>
        <w:t>与</w:t>
      </w:r>
      <w:r>
        <w:rPr>
          <w:rFonts w:hint="eastAsia" w:ascii="仿宋_GB2312" w:eastAsia="仿宋_GB2312"/>
          <w:color w:val="000000"/>
          <w:sz w:val="32"/>
          <w:szCs w:val="32"/>
        </w:rPr>
        <w:t>住院、</w:t>
      </w:r>
      <w:r>
        <w:rPr>
          <w:rFonts w:hint="eastAsia" w:ascii="仿宋_GB2312" w:hAnsi="仿宋_GB2312" w:eastAsia="仿宋_GB2312" w:cs="仿宋_GB2312"/>
          <w:b w:val="0"/>
          <w:i w:val="0"/>
          <w:caps w:val="0"/>
          <w:color w:val="000000"/>
          <w:spacing w:val="0"/>
          <w:sz w:val="32"/>
          <w:szCs w:val="32"/>
          <w:u w:val="none"/>
          <w:shd w:val="clear" w:color="auto" w:fill="FFFFFF"/>
        </w:rPr>
        <w:t>门诊慢</w:t>
      </w:r>
      <w:r>
        <w:rPr>
          <w:rFonts w:hint="eastAsia" w:ascii="仿宋_GB2312" w:hAnsi="仿宋_GB2312" w:eastAsia="仿宋_GB2312" w:cs="仿宋_GB2312"/>
          <w:b w:val="0"/>
          <w:i w:val="0"/>
          <w:caps w:val="0"/>
          <w:color w:val="000000"/>
          <w:spacing w:val="0"/>
          <w:sz w:val="32"/>
          <w:szCs w:val="32"/>
          <w:u w:val="none"/>
          <w:shd w:val="clear" w:color="auto" w:fill="FFFFFF"/>
          <w:lang w:eastAsia="zh-CN"/>
        </w:rPr>
        <w:t>性病</w:t>
      </w:r>
      <w:r>
        <w:rPr>
          <w:rFonts w:hint="eastAsia" w:ascii="仿宋_GB2312" w:eastAsia="仿宋_GB2312"/>
          <w:color w:val="000000"/>
          <w:sz w:val="32"/>
          <w:szCs w:val="32"/>
        </w:rPr>
        <w:t>、</w:t>
      </w:r>
      <w:r>
        <w:rPr>
          <w:rFonts w:hint="eastAsia" w:ascii="仿宋_GB2312" w:eastAsia="仿宋_GB2312"/>
          <w:color w:val="000000"/>
          <w:sz w:val="32"/>
          <w:szCs w:val="32"/>
          <w:lang w:eastAsia="zh-CN"/>
        </w:rPr>
        <w:t>特殊疾病、纳入“双通道”管理的</w:t>
      </w:r>
      <w:r>
        <w:rPr>
          <w:rFonts w:hint="eastAsia" w:ascii="仿宋_GB2312" w:eastAsia="仿宋_GB2312"/>
          <w:color w:val="000000"/>
          <w:sz w:val="32"/>
          <w:szCs w:val="32"/>
        </w:rPr>
        <w:t>国家医保谈判药品的最</w:t>
      </w:r>
      <w:r>
        <w:rPr>
          <w:rFonts w:hint="eastAsia" w:ascii="仿宋_GB2312" w:eastAsia="仿宋_GB2312"/>
          <w:sz w:val="32"/>
          <w:szCs w:val="32"/>
        </w:rPr>
        <w:t>高支付限额分别控制</w:t>
      </w:r>
      <w:r>
        <w:rPr>
          <w:rFonts w:hint="eastAsia" w:ascii="仿宋_GB2312" w:eastAsia="仿宋_GB2312"/>
          <w:sz w:val="32"/>
          <w:szCs w:val="32"/>
          <w:lang w:eastAsia="zh-CN"/>
        </w:rPr>
        <w:t>，</w:t>
      </w:r>
      <w:r>
        <w:rPr>
          <w:rFonts w:hint="eastAsia" w:ascii="仿宋_GB2312" w:eastAsia="仿宋_GB2312"/>
          <w:sz w:val="32"/>
          <w:szCs w:val="32"/>
        </w:rPr>
        <w:t>合并计入职工医保统筹基金最高</w:t>
      </w:r>
      <w:r>
        <w:rPr>
          <w:rFonts w:hint="eastAsia" w:ascii="仿宋_GB2312" w:eastAsia="仿宋_GB2312"/>
          <w:sz w:val="32"/>
          <w:szCs w:val="32"/>
          <w:lang w:eastAsia="zh-CN"/>
        </w:rPr>
        <w:t>年度</w:t>
      </w:r>
      <w:r>
        <w:rPr>
          <w:rFonts w:hint="eastAsia" w:ascii="仿宋_GB2312" w:eastAsia="仿宋_GB2312"/>
          <w:sz w:val="32"/>
          <w:szCs w:val="32"/>
        </w:rPr>
        <w:t>支付限额</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60" w:firstLineChars="200"/>
        <w:textAlignment w:val="auto"/>
        <w:rPr>
          <w:rFonts w:hint="eastAsia" w:ascii="仿宋" w:hAnsi="仿宋" w:eastAsia="仿宋" w:cs="仿宋"/>
          <w:color w:val="000000"/>
          <w:sz w:val="32"/>
          <w:szCs w:val="32"/>
          <w:highlight w:val="none"/>
          <w:lang w:val="en-US" w:eastAsia="zh-CN"/>
        </w:rPr>
      </w:pPr>
      <w:r>
        <w:rPr>
          <w:rFonts w:hint="eastAsia" w:ascii="黑体" w:hAnsi="黑体" w:eastAsia="黑体" w:cs="黑体"/>
          <w:i w:val="0"/>
          <w:iCs w:val="0"/>
          <w:caps w:val="0"/>
          <w:color w:val="auto"/>
          <w:spacing w:val="30"/>
          <w:kern w:val="0"/>
          <w:sz w:val="32"/>
          <w:szCs w:val="32"/>
          <w:u w:val="none"/>
          <w:shd w:val="clear" w:color="auto" w:fill="FFFFFF"/>
          <w:lang w:val="en-US" w:eastAsia="zh-CN" w:bidi="ar"/>
        </w:rPr>
        <w:t>第十八条</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 w:hAnsi="仿宋" w:eastAsia="仿宋" w:cs="仿宋"/>
          <w:color w:val="000000"/>
          <w:sz w:val="32"/>
          <w:szCs w:val="32"/>
          <w:highlight w:val="none"/>
          <w:lang w:val="en-US" w:eastAsia="zh-CN"/>
        </w:rPr>
        <w:t>在一个自然年度内，</w:t>
      </w:r>
      <w:r>
        <w:rPr>
          <w:rFonts w:hint="eastAsia" w:ascii="仿宋_GB2312" w:hAnsi="仿宋_GB2312" w:eastAsia="仿宋_GB2312" w:cs="仿宋_GB2312"/>
          <w:color w:val="000000"/>
          <w:sz w:val="32"/>
          <w:szCs w:val="32"/>
          <w:lang w:val="en-US" w:eastAsia="zh-CN"/>
        </w:rPr>
        <w:t>参保人发生的统筹基金支付范围内普通门诊医疗费用，在起付标准以上、统筹基金最高支付限额以下的，由统筹基金和个人按下列规定比例分别负担</w:t>
      </w:r>
      <w:r>
        <w:rPr>
          <w:rFonts w:hint="eastAsia" w:ascii="仿宋" w:hAnsi="仿宋" w:eastAsia="仿宋" w:cs="仿宋"/>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（一）在一级医疗机构（含社区卫生服务机构）</w:t>
      </w:r>
      <w:r>
        <w:rPr>
          <w:rFonts w:hint="eastAsia" w:ascii="仿宋" w:hAnsi="仿宋" w:eastAsia="仿宋" w:cs="仿宋"/>
          <w:sz w:val="32"/>
          <w:szCs w:val="32"/>
          <w:highlight w:val="none"/>
        </w:rPr>
        <w:t>普通门诊就医</w:t>
      </w:r>
      <w:r>
        <w:rPr>
          <w:rFonts w:hint="eastAsia" w:ascii="仿宋" w:hAnsi="仿宋" w:eastAsia="仿宋" w:cs="仿宋"/>
          <w:color w:val="000000"/>
          <w:sz w:val="32"/>
          <w:szCs w:val="32"/>
          <w:highlight w:val="none"/>
          <w:lang w:val="en-US" w:eastAsia="zh-CN"/>
        </w:rPr>
        <w:t>的，统筹基金支付比例80%，在职人员个人支付比例20%；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（二）在二级医疗机构</w:t>
      </w:r>
      <w:r>
        <w:rPr>
          <w:rFonts w:hint="eastAsia" w:ascii="仿宋" w:hAnsi="仿宋" w:eastAsia="仿宋" w:cs="仿宋"/>
          <w:sz w:val="32"/>
          <w:szCs w:val="32"/>
          <w:highlight w:val="none"/>
        </w:rPr>
        <w:t>普通门诊就医</w:t>
      </w:r>
      <w:r>
        <w:rPr>
          <w:rFonts w:hint="eastAsia" w:ascii="仿宋" w:hAnsi="仿宋" w:eastAsia="仿宋" w:cs="仿宋"/>
          <w:color w:val="000000"/>
          <w:sz w:val="32"/>
          <w:szCs w:val="32"/>
          <w:highlight w:val="none"/>
          <w:lang w:val="en-US" w:eastAsia="zh-CN"/>
        </w:rPr>
        <w:t>的,统筹基金支付比例60%，在职人员个人支付比例40%；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（三）在三级医疗机构</w:t>
      </w:r>
      <w:r>
        <w:rPr>
          <w:rFonts w:hint="eastAsia" w:ascii="仿宋" w:hAnsi="仿宋" w:eastAsia="仿宋" w:cs="仿宋"/>
          <w:sz w:val="32"/>
          <w:szCs w:val="32"/>
          <w:highlight w:val="none"/>
        </w:rPr>
        <w:t>普通门诊就医</w:t>
      </w:r>
      <w:r>
        <w:rPr>
          <w:rFonts w:hint="eastAsia" w:ascii="仿宋" w:hAnsi="仿宋" w:eastAsia="仿宋" w:cs="仿宋"/>
          <w:color w:val="000000"/>
          <w:sz w:val="32"/>
          <w:szCs w:val="32"/>
          <w:highlight w:val="none"/>
          <w:lang w:val="en-US" w:eastAsia="zh-CN"/>
        </w:rPr>
        <w:t>的,统筹基金支付比例50%，在职人员个人支付比例50%。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退休人员个人支付比例为在职人员个人支付比例的80%。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第十九条</w:t>
      </w:r>
      <w:r>
        <w:rPr>
          <w:rFonts w:hint="eastAsia" w:ascii="仿宋" w:hAnsi="仿宋" w:eastAsia="仿宋" w:cs="仿宋"/>
          <w:color w:val="000000"/>
          <w:sz w:val="32"/>
          <w:szCs w:val="32"/>
          <w:highlight w:val="none"/>
          <w:lang w:val="en-US" w:eastAsia="zh-CN"/>
        </w:rPr>
        <w:t xml:space="preserve"> 下列普通门诊医疗费用不纳入统筹基金支付范围：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（一）医疗保险基金支付范围以外的医疗费用；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（二）医疗保险基金支付范围以内的，应当由个人先行负担的医疗费用；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（三）参保人在非定点医疗机构门诊就医发生的医疗费用；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（四）普通门诊处方在不符合规定的普通定点零售药店外配发生的医疗费用；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（五）其它不符合基本医疗保险规定的费用。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第二十条</w:t>
      </w:r>
      <w:r>
        <w:rPr>
          <w:rFonts w:hint="eastAsia" w:ascii="仿宋" w:hAnsi="仿宋" w:eastAsia="仿宋" w:cs="仿宋"/>
          <w:color w:val="000000"/>
          <w:sz w:val="32"/>
          <w:szCs w:val="32"/>
          <w:highlight w:val="none"/>
          <w:lang w:val="en-US" w:eastAsia="zh-CN"/>
        </w:rPr>
        <w:t xml:space="preserve"> 用人单位未按时足额缴纳职工医保费的，给职工和退休人员造成的损失，由用人单位承担。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第二十一条</w:t>
      </w:r>
      <w:r>
        <w:rPr>
          <w:rFonts w:hint="eastAsia" w:ascii="仿宋" w:hAnsi="仿宋" w:eastAsia="仿宋" w:cs="仿宋"/>
          <w:color w:val="000000"/>
          <w:sz w:val="32"/>
          <w:szCs w:val="32"/>
          <w:highlight w:val="none"/>
          <w:lang w:val="en-US" w:eastAsia="zh-CN"/>
        </w:rPr>
        <w:t xml:space="preserve"> 2012年以前参加职工基本医疗保险的城中村养老保障人员，按规定补缴基本医疗保险费后，从缴费次月起享受职工基本医疗保险普通门诊统筹待遇和门诊慢特病待遇，变更个人账户计入比例。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第二十二条</w:t>
      </w:r>
      <w:r>
        <w:rPr>
          <w:rFonts w:hint="eastAsia" w:ascii="仿宋" w:hAnsi="仿宋" w:eastAsia="仿宋" w:cs="仿宋"/>
          <w:color w:val="000000"/>
          <w:sz w:val="32"/>
          <w:szCs w:val="32"/>
          <w:highlight w:val="none"/>
          <w:lang w:val="en-US" w:eastAsia="zh-CN"/>
        </w:rPr>
        <w:t xml:space="preserve"> </w:t>
      </w:r>
      <w:r>
        <w:rPr>
          <w:rFonts w:hint="eastAsia" w:ascii="仿宋_GB2312" w:hAnsi="Calibri" w:eastAsia="仿宋_GB2312" w:cs="Times New Roman"/>
          <w:color w:val="000000"/>
          <w:kern w:val="2"/>
          <w:sz w:val="32"/>
          <w:szCs w:val="32"/>
          <w:lang w:val="en-US" w:eastAsia="zh-CN" w:bidi="ar-SA"/>
        </w:rPr>
        <w:t>生育门诊医疗费用和基本医疗保险门诊治疗慢性病、特殊疾病（以下统称门诊慢特病）按我市现行政策执行。</w:t>
      </w:r>
    </w:p>
    <w:p>
      <w:pPr>
        <w:keepNext w:val="0"/>
        <w:keepLines w:val="0"/>
        <w:pageBreakBefore w:val="0"/>
        <w:widowControl w:val="0"/>
        <w:shd w:val="clear" w:color="auto" w:fill="auto"/>
        <w:kinsoku/>
        <w:wordWrap/>
        <w:overflowPunct/>
        <w:topLinePunct w:val="0"/>
        <w:autoSpaceDE/>
        <w:autoSpaceDN/>
        <w:bidi w:val="0"/>
        <w:adjustRightInd w:val="0"/>
        <w:snapToGrid w:val="0"/>
        <w:spacing w:before="157" w:beforeLines="50" w:after="157" w:afterLines="50" w:line="560" w:lineRule="exact"/>
        <w:ind w:firstLine="0" w:firstLineChars="0"/>
        <w:jc w:val="center"/>
        <w:textAlignment w:val="auto"/>
        <w:rPr>
          <w:rStyle w:val="6"/>
          <w:rFonts w:hint="eastAsia" w:ascii="黑体" w:hAnsi="黑体" w:eastAsia="黑体" w:cs="黑体"/>
          <w:b w:val="0"/>
          <w:bCs/>
          <w:color w:val="000000"/>
          <w:spacing w:val="8"/>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157" w:beforeLines="50" w:after="157" w:afterLines="50" w:line="560" w:lineRule="exact"/>
        <w:ind w:firstLine="0" w:firstLineChars="0"/>
        <w:jc w:val="center"/>
        <w:textAlignment w:val="auto"/>
        <w:rPr>
          <w:rStyle w:val="6"/>
          <w:rFonts w:hint="eastAsia" w:ascii="黑体" w:hAnsi="黑体" w:eastAsia="黑体" w:cs="黑体"/>
          <w:b w:val="0"/>
          <w:bCs/>
          <w:color w:val="000000"/>
          <w:spacing w:val="8"/>
          <w:kern w:val="0"/>
          <w:sz w:val="32"/>
          <w:szCs w:val="32"/>
          <w:shd w:val="clear" w:color="auto" w:fill="FFFFFF"/>
          <w:lang w:val="en-US" w:eastAsia="zh-CN" w:bidi="ar"/>
        </w:rPr>
      </w:pPr>
      <w:r>
        <w:rPr>
          <w:rStyle w:val="6"/>
          <w:rFonts w:hint="eastAsia" w:ascii="黑体" w:hAnsi="黑体" w:eastAsia="黑体" w:cs="黑体"/>
          <w:b w:val="0"/>
          <w:bCs/>
          <w:color w:val="000000"/>
          <w:spacing w:val="8"/>
          <w:kern w:val="0"/>
          <w:sz w:val="32"/>
          <w:szCs w:val="32"/>
          <w:shd w:val="clear" w:color="auto" w:fill="FFFFFF"/>
          <w:lang w:val="en-US" w:eastAsia="zh-CN" w:bidi="ar"/>
        </w:rPr>
        <w:t>第四章  医药服务管理和监督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640" w:firstLineChars="200"/>
        <w:jc w:val="both"/>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第二十三条 </w:t>
      </w:r>
      <w:r>
        <w:rPr>
          <w:rFonts w:hint="eastAsia" w:ascii="仿宋_GB2312" w:hAnsi="Calibri" w:eastAsia="仿宋_GB2312" w:cs="Times New Roman"/>
          <w:color w:val="000000"/>
          <w:kern w:val="2"/>
          <w:sz w:val="32"/>
          <w:szCs w:val="32"/>
          <w:lang w:val="en-US" w:eastAsia="zh-CN" w:bidi="ar-SA"/>
        </w:rPr>
        <w:t>参保人应凭本人医保电子凭证或社会保障卡在我市符合规定的定点医药机构就医，发生的门诊医疗费用应通过医疗保险信息系统直接结算，未通过医疗保险信息系统直接结算的门诊费用，统筹基金不予支付。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color w:val="000000"/>
          <w:sz w:val="32"/>
          <w:szCs w:val="32"/>
          <w:highlight w:val="none"/>
          <w:lang w:val="en-US" w:eastAsia="zh-CN"/>
        </w:rPr>
        <w:t>第二十四条</w:t>
      </w:r>
      <w:r>
        <w:rPr>
          <w:rFonts w:hint="eastAsia" w:ascii="仿宋" w:hAnsi="仿宋" w:eastAsia="仿宋" w:cs="仿宋"/>
          <w:color w:val="000000"/>
          <w:sz w:val="32"/>
          <w:szCs w:val="32"/>
          <w:highlight w:val="none"/>
          <w:lang w:val="en-US" w:eastAsia="zh-CN"/>
        </w:rPr>
        <w:t xml:space="preserve"> </w:t>
      </w:r>
      <w:r>
        <w:rPr>
          <w:rFonts w:hint="eastAsia" w:ascii="仿宋_GB2312" w:hAnsi="Calibri" w:eastAsia="仿宋_GB2312" w:cs="Times New Roman"/>
          <w:color w:val="000000"/>
          <w:kern w:val="2"/>
          <w:sz w:val="32"/>
          <w:szCs w:val="32"/>
          <w:lang w:val="en-US" w:eastAsia="zh-CN" w:bidi="ar-SA"/>
        </w:rPr>
        <w:t>异地就医门诊费用实现直接结算后，参保人异地就医，在备案地定点医疗机构就医，发生的门诊费用应通过医保信息系统直接结算。因特殊情况未能实现直接结算的，应先由个人全额支付，于次年第一季度内将身份证复印件、门诊病历、费用收据、费用明细资料送达参保辖区医疗保险经办机构审核结算，逾期不再予以办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color w:val="000000"/>
          <w:sz w:val="32"/>
          <w:szCs w:val="32"/>
          <w:highlight w:val="none"/>
          <w:lang w:val="en-US" w:eastAsia="zh-CN"/>
        </w:rPr>
        <w:t xml:space="preserve">第二十五条 </w:t>
      </w:r>
      <w:r>
        <w:rPr>
          <w:rFonts w:hint="eastAsia" w:ascii="仿宋_GB2312" w:hAnsi="Calibri" w:eastAsia="仿宋_GB2312" w:cs="Times New Roman"/>
          <w:color w:val="000000"/>
          <w:kern w:val="2"/>
          <w:sz w:val="32"/>
          <w:szCs w:val="32"/>
          <w:lang w:val="en-US" w:eastAsia="zh-CN" w:bidi="ar-SA"/>
        </w:rPr>
        <w:t>逐步将符合条件的定点零售</w:t>
      </w:r>
      <w:r>
        <w:rPr>
          <w:rFonts w:hint="eastAsia" w:ascii="仿宋_GB2312" w:eastAsia="仿宋_GB2312" w:cs="Times New Roman"/>
          <w:color w:val="000000"/>
          <w:kern w:val="2"/>
          <w:sz w:val="32"/>
          <w:szCs w:val="32"/>
          <w:lang w:val="en-US" w:eastAsia="zh-CN" w:bidi="ar-SA"/>
        </w:rPr>
        <w:t>药店</w:t>
      </w:r>
      <w:r>
        <w:rPr>
          <w:rFonts w:hint="eastAsia" w:ascii="仿宋_GB2312" w:hAnsi="Calibri" w:eastAsia="仿宋_GB2312" w:cs="Times New Roman"/>
          <w:color w:val="000000"/>
          <w:kern w:val="2"/>
          <w:sz w:val="32"/>
          <w:szCs w:val="32"/>
          <w:lang w:val="en-US" w:eastAsia="zh-CN" w:bidi="ar-SA"/>
        </w:rPr>
        <w:t>提供的用药保障服务纳入门诊保障范围，支持</w:t>
      </w:r>
      <w:r>
        <w:rPr>
          <w:rFonts w:hint="eastAsia" w:ascii="仿宋_GB2312" w:eastAsia="仿宋_GB2312" w:cs="Times New Roman"/>
          <w:color w:val="000000"/>
          <w:kern w:val="2"/>
          <w:sz w:val="32"/>
          <w:szCs w:val="32"/>
          <w:lang w:val="en-US" w:eastAsia="zh-CN" w:bidi="ar-SA"/>
        </w:rPr>
        <w:t>参保人凭本细则第十四条规定的定点医疗机构开具的</w:t>
      </w:r>
      <w:r>
        <w:rPr>
          <w:rFonts w:hint="eastAsia" w:ascii="仿宋_GB2312" w:hAnsi="Calibri" w:eastAsia="仿宋_GB2312" w:cs="Times New Roman"/>
          <w:color w:val="000000"/>
          <w:kern w:val="2"/>
          <w:sz w:val="32"/>
          <w:szCs w:val="32"/>
          <w:lang w:val="en-US" w:eastAsia="zh-CN" w:bidi="ar-SA"/>
        </w:rPr>
        <w:t>外配处方在符合条件的定点零售药店配药、结算。参保人员外配购药的支付比例按为其出具处方的定点医疗机构级别执行。探索将符合条件的“互联网+”医疗服务纳入门诊保障范围，执行线上线下医保同等支付政策。</w:t>
      </w:r>
    </w:p>
    <w:p>
      <w:pPr>
        <w:keepNext w:val="0"/>
        <w:keepLines w:val="0"/>
        <w:pageBreakBefore w:val="0"/>
        <w:widowControl w:val="0"/>
        <w:shd w:val="clear" w:color="auto" w:fill="auto"/>
        <w:kinsoku/>
        <w:wordWrap/>
        <w:overflowPunct/>
        <w:topLinePunct w:val="0"/>
        <w:bidi w:val="0"/>
        <w:adjustRightInd w:val="0"/>
        <w:snapToGrid w:val="0"/>
        <w:spacing w:line="560" w:lineRule="exact"/>
        <w:ind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第二十六条 </w:t>
      </w:r>
      <w:r>
        <w:rPr>
          <w:rFonts w:hint="eastAsia" w:ascii="仿宋_GB2312" w:hAnsi="Calibri" w:eastAsia="仿宋_GB2312" w:cs="Times New Roman"/>
          <w:color w:val="000000"/>
          <w:kern w:val="2"/>
          <w:sz w:val="32"/>
          <w:szCs w:val="32"/>
          <w:lang w:val="en-US" w:eastAsia="zh-CN" w:bidi="ar-SA"/>
        </w:rPr>
        <w:t>门诊共济保障机制建立初期，普通门诊统筹费用实行按项目付费。后期根据</w:t>
      </w:r>
      <w:r>
        <w:rPr>
          <w:rFonts w:hint="eastAsia" w:ascii="仿宋_GB2312" w:eastAsia="仿宋_GB2312" w:cs="Times New Roman"/>
          <w:color w:val="000000"/>
          <w:kern w:val="2"/>
          <w:sz w:val="32"/>
          <w:szCs w:val="32"/>
          <w:lang w:val="en-US" w:eastAsia="zh-CN" w:bidi="ar-SA"/>
        </w:rPr>
        <w:t>我市实际情况，不断完善门诊共济医保支付方式</w:t>
      </w:r>
      <w:r>
        <w:rPr>
          <w:rFonts w:hint="eastAsia" w:ascii="仿宋_GB2312" w:hAnsi="Calibri" w:eastAsia="仿宋_GB2312" w:cs="Times New Roman"/>
          <w:color w:val="000000"/>
          <w:kern w:val="2"/>
          <w:sz w:val="32"/>
          <w:szCs w:val="32"/>
          <w:lang w:val="en-US" w:eastAsia="zh-CN" w:bidi="ar-SA"/>
        </w:rPr>
        <w:t>。</w:t>
      </w:r>
    </w:p>
    <w:p>
      <w:pPr>
        <w:keepNext w:val="0"/>
        <w:keepLines w:val="0"/>
        <w:pageBreakBefore w:val="0"/>
        <w:widowControl w:val="0"/>
        <w:suppressLineNumbers w:val="0"/>
        <w:shd w:val="clear" w:color="auto" w:fill="auto"/>
        <w:kinsoku/>
        <w:wordWrap/>
        <w:overflowPunct/>
        <w:topLinePunct w:val="0"/>
        <w:bidi w:val="0"/>
        <w:snapToGrid/>
        <w:spacing w:line="560" w:lineRule="exact"/>
        <w:ind w:firstLine="640" w:firstLineChars="200"/>
        <w:jc w:val="left"/>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第二十七条 </w:t>
      </w:r>
      <w:r>
        <w:rPr>
          <w:rFonts w:hint="eastAsia" w:ascii="仿宋_GB2312" w:hAnsi="Calibri" w:eastAsia="仿宋_GB2312" w:cs="Times New Roman"/>
          <w:color w:val="000000"/>
          <w:kern w:val="2"/>
          <w:sz w:val="32"/>
          <w:szCs w:val="32"/>
          <w:lang w:val="en-US" w:eastAsia="zh-CN" w:bidi="ar-SA"/>
        </w:rPr>
        <w:t>享受门诊慢特病待遇和</w:t>
      </w:r>
      <w:r>
        <w:rPr>
          <w:rFonts w:hint="eastAsia" w:ascii="仿宋_GB2312" w:eastAsia="仿宋_GB2312" w:cs="Times New Roman"/>
          <w:color w:val="000000"/>
          <w:kern w:val="2"/>
          <w:sz w:val="32"/>
          <w:szCs w:val="32"/>
          <w:lang w:val="en-US" w:eastAsia="zh-CN" w:bidi="ar-SA"/>
        </w:rPr>
        <w:t>需使用国家谈判药品“双通道”药品治疗的</w:t>
      </w:r>
      <w:r>
        <w:rPr>
          <w:rFonts w:hint="eastAsia" w:ascii="仿宋_GB2312" w:hAnsi="Calibri" w:eastAsia="仿宋_GB2312" w:cs="Times New Roman"/>
          <w:color w:val="000000"/>
          <w:kern w:val="2"/>
          <w:sz w:val="32"/>
          <w:szCs w:val="32"/>
          <w:lang w:val="en-US" w:eastAsia="zh-CN" w:bidi="ar-SA"/>
        </w:rPr>
        <w:t>，统筹基金支付</w:t>
      </w:r>
      <w:r>
        <w:rPr>
          <w:rFonts w:hint="eastAsia" w:ascii="仿宋_GB2312" w:eastAsia="仿宋_GB2312" w:cs="Times New Roman"/>
          <w:color w:val="000000"/>
          <w:kern w:val="2"/>
          <w:sz w:val="32"/>
          <w:szCs w:val="32"/>
          <w:lang w:val="en-US" w:eastAsia="zh-CN" w:bidi="ar-SA"/>
        </w:rPr>
        <w:t>政策按我市现行政策执行</w:t>
      </w:r>
      <w:r>
        <w:rPr>
          <w:rFonts w:hint="eastAsia" w:ascii="仿宋_GB2312" w:hAnsi="Calibri" w:eastAsia="仿宋_GB2312" w:cs="Times New Roman"/>
          <w:color w:val="000000"/>
          <w:kern w:val="2"/>
          <w:sz w:val="32"/>
          <w:szCs w:val="32"/>
          <w:lang w:val="en-US" w:eastAsia="zh-CN" w:bidi="ar-SA"/>
        </w:rPr>
        <w:t>。</w:t>
      </w:r>
    </w:p>
    <w:p>
      <w:pPr>
        <w:spacing w:line="560" w:lineRule="exact"/>
        <w:ind w:firstLine="640" w:firstLineChars="200"/>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第二十八条 </w:t>
      </w:r>
      <w:r>
        <w:rPr>
          <w:rFonts w:hint="eastAsia" w:ascii="仿宋_GB2312" w:hAnsi="Calibri" w:eastAsia="仿宋_GB2312" w:cs="Times New Roman"/>
          <w:color w:val="000000"/>
          <w:kern w:val="2"/>
          <w:sz w:val="32"/>
          <w:szCs w:val="32"/>
          <w:lang w:val="en-US" w:eastAsia="zh-CN" w:bidi="ar-SA"/>
        </w:rPr>
        <w:t>门诊慢特病保障范围所使用的必需的药品、检查、检验、治疗、耗材必须与病种的诊断相符，不相符的费用不得纳入门诊慢特病支付范围；普通门诊费用不纳入门诊慢特病支付范围，门诊慢特病费用不纳入普通门诊统筹支付范围。</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第二十九条 </w:t>
      </w:r>
      <w:r>
        <w:rPr>
          <w:rFonts w:hint="eastAsia" w:ascii="仿宋_GB2312" w:hAnsi="Calibri" w:eastAsia="仿宋_GB2312" w:cs="Times New Roman"/>
          <w:color w:val="000000"/>
          <w:kern w:val="2"/>
          <w:sz w:val="32"/>
          <w:szCs w:val="32"/>
          <w:lang w:val="en-US" w:eastAsia="zh-CN" w:bidi="ar-SA"/>
        </w:rPr>
        <w:t>医疗机构和患者应优先使用国家和省、市集采中选药品、协议期内谈判药品等疗效确切、价格适宜的药品。</w:t>
      </w:r>
    </w:p>
    <w:p>
      <w:pPr>
        <w:spacing w:line="560" w:lineRule="exact"/>
        <w:ind w:firstLine="640" w:firstLineChars="200"/>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第三十条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协同推动基层医疗服务体系建设、完善家庭医生签约服务、规范长期处方管理，引导参保人员在基层就医首诊。结合完善门诊慢特病管理措施，规范基层定点医疗机构诊疗及转诊等行为。</w:t>
      </w:r>
    </w:p>
    <w:p>
      <w:pPr>
        <w:spacing w:line="560" w:lineRule="exact"/>
        <w:ind w:firstLine="640" w:firstLineChars="200"/>
        <w:rPr>
          <w:rFonts w:hint="eastAsia" w:ascii="仿宋_GB2312" w:eastAsia="仿宋_GB2312"/>
          <w:color w:val="000000"/>
          <w:sz w:val="32"/>
          <w:szCs w:val="32"/>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第三十一条 </w:t>
      </w:r>
      <w:r>
        <w:rPr>
          <w:rFonts w:hint="eastAsia" w:ascii="仿宋_GB2312" w:eastAsia="仿宋_GB2312"/>
          <w:color w:val="000000"/>
          <w:sz w:val="32"/>
          <w:szCs w:val="32"/>
        </w:rPr>
        <w:t>严格执行医保基金预算管理制度，加强基金稽核制度和</w:t>
      </w:r>
      <w:r>
        <w:rPr>
          <w:rFonts w:hint="eastAsia" w:ascii="仿宋_GB2312" w:eastAsia="仿宋_GB2312"/>
          <w:color w:val="000000"/>
          <w:sz w:val="32"/>
          <w:szCs w:val="32"/>
          <w:lang w:eastAsia="zh-CN"/>
        </w:rPr>
        <w:t>经办机构、医药机构</w:t>
      </w:r>
      <w:r>
        <w:rPr>
          <w:rFonts w:hint="eastAsia" w:ascii="仿宋_GB2312" w:eastAsia="仿宋_GB2312"/>
          <w:color w:val="000000"/>
          <w:sz w:val="32"/>
          <w:szCs w:val="32"/>
        </w:rPr>
        <w:t>内控制度建设。</w:t>
      </w:r>
      <w:r>
        <w:rPr>
          <w:rFonts w:hint="eastAsia" w:ascii="仿宋_GB2312" w:eastAsia="仿宋_GB2312"/>
          <w:color w:val="000000"/>
          <w:sz w:val="32"/>
          <w:szCs w:val="32"/>
          <w:lang w:eastAsia="zh-CN"/>
        </w:rPr>
        <w:t>健全完善个人账户使用管理办法，</w:t>
      </w:r>
      <w:r>
        <w:rPr>
          <w:rFonts w:hint="eastAsia" w:ascii="仿宋_GB2312" w:eastAsia="仿宋_GB2312"/>
          <w:color w:val="000000"/>
          <w:sz w:val="32"/>
          <w:szCs w:val="32"/>
        </w:rPr>
        <w:t>建立对个人账户全流程动态管理机制，加强对个人账户使用、结算等环节的审核。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第三十二条 </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完善医保定点医</w:t>
      </w:r>
      <w:r>
        <w:rPr>
          <w:rFonts w:hint="eastAsia" w:ascii="仿宋_GB2312" w:hAnsi="仿宋_GB2312" w:eastAsia="仿宋_GB2312" w:cs="仿宋_GB2312"/>
          <w:b w:val="0"/>
          <w:i w:val="0"/>
          <w:caps w:val="0"/>
          <w:color w:val="000000"/>
          <w:spacing w:val="0"/>
          <w:kern w:val="2"/>
          <w:sz w:val="32"/>
          <w:szCs w:val="32"/>
          <w:highlight w:val="none"/>
          <w:u w:val="none"/>
          <w:shd w:val="clear" w:color="auto" w:fill="FFFFFF"/>
          <w:lang w:val="en-US" w:eastAsia="zh-CN" w:bidi="ar-SA"/>
        </w:rPr>
        <w:t>药</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机构服务协议管理办法，健全医疗服务监控、分析和考核体系，</w:t>
      </w:r>
      <w:r>
        <w:rPr>
          <w:rFonts w:hint="eastAsia" w:ascii="仿宋_GB2312" w:eastAsia="仿宋_GB2312"/>
          <w:color w:val="000000"/>
          <w:sz w:val="32"/>
          <w:szCs w:val="32"/>
        </w:rPr>
        <w:t>引导定点医疗机构规范提供诊疗服务</w:t>
      </w:r>
      <w:r>
        <w:rPr>
          <w:rFonts w:hint="eastAsia" w:ascii="仿宋_GB2312" w:eastAsia="仿宋_GB2312"/>
          <w:color w:val="000000"/>
          <w:sz w:val="32"/>
          <w:szCs w:val="32"/>
          <w:lang w:eastAsia="zh-CN"/>
        </w:rPr>
        <w:t>，规范</w:t>
      </w:r>
      <w:r>
        <w:rPr>
          <w:rFonts w:hint="eastAsia" w:ascii="仿宋_GB2312" w:eastAsia="仿宋_GB2312"/>
          <w:color w:val="000000"/>
          <w:sz w:val="32"/>
          <w:szCs w:val="32"/>
        </w:rPr>
        <w:t>定点零售药店售药行为管理</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pPr>
      <w:r>
        <w:rPr>
          <w:rFonts w:hint="eastAsia" w:ascii="黑体" w:hAnsi="黑体" w:eastAsia="黑体" w:cs="黑体"/>
          <w:b w:val="0"/>
          <w:i w:val="0"/>
          <w:caps w:val="0"/>
          <w:color w:val="000000"/>
          <w:spacing w:val="0"/>
          <w:kern w:val="2"/>
          <w:sz w:val="32"/>
          <w:szCs w:val="32"/>
          <w:shd w:val="clear" w:color="auto" w:fill="FFFFFF"/>
          <w:lang w:val="en-US" w:eastAsia="zh-CN" w:bidi="ar-SA"/>
        </w:rPr>
        <w:t>第三十三条</w:t>
      </w: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建立医保基金安全防控机制，健全医疗行为诚信体系管理，严格门诊处方评价机制、检查检验考核机制、售药购药评价机制、医保信用评价机制，强化对医疗行为和医疗费用的监管，严厉打击欺诈骗保行为，确保基金安全高效、合理使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b w:val="0"/>
          <w:bCs w:val="0"/>
          <w:color w:val="000000"/>
        </w:rPr>
      </w:pPr>
      <w:r>
        <w:rPr>
          <w:rStyle w:val="6"/>
          <w:rFonts w:hint="eastAsia" w:ascii="黑体" w:hAnsi="黑体" w:eastAsia="黑体" w:cs="黑体"/>
          <w:b w:val="0"/>
          <w:bCs w:val="0"/>
          <w:color w:val="000000"/>
          <w:spacing w:val="30"/>
          <w:kern w:val="0"/>
          <w:sz w:val="32"/>
          <w:szCs w:val="32"/>
          <w:lang w:val="en-US" w:eastAsia="zh-CN" w:bidi="ar"/>
        </w:rPr>
        <w:t>第五章  附 则</w:t>
      </w:r>
    </w:p>
    <w:p>
      <w:pPr>
        <w:spacing w:line="560" w:lineRule="exact"/>
        <w:ind w:firstLine="640" w:firstLineChars="200"/>
        <w:rPr>
          <w:rFonts w:ascii="仿宋_GB2312" w:eastAsia="仿宋_GB2312"/>
          <w:color w:val="000000"/>
          <w:sz w:val="32"/>
          <w:szCs w:val="32"/>
        </w:rPr>
      </w:pPr>
      <w:r>
        <w:rPr>
          <w:rFonts w:hint="eastAsia" w:ascii="黑体" w:hAnsi="黑体" w:eastAsia="黑体" w:cs="黑体"/>
          <w:b w:val="0"/>
          <w:i w:val="0"/>
          <w:caps w:val="0"/>
          <w:color w:val="000000"/>
          <w:spacing w:val="0"/>
          <w:kern w:val="2"/>
          <w:sz w:val="32"/>
          <w:szCs w:val="32"/>
          <w:shd w:val="clear" w:color="auto" w:fill="FFFFFF"/>
          <w:lang w:val="en-US" w:eastAsia="zh-CN" w:bidi="ar-SA"/>
        </w:rPr>
        <w:t>第三十四条</w:t>
      </w:r>
      <w:r>
        <w:rPr>
          <w:rFonts w:hint="eastAsia" w:ascii="楷体" w:hAnsi="楷体" w:eastAsia="楷体" w:cs="楷体"/>
          <w:b w:val="0"/>
          <w:i w:val="0"/>
          <w:caps w:val="0"/>
          <w:color w:val="000000"/>
          <w:spacing w:val="0"/>
          <w:kern w:val="2"/>
          <w:sz w:val="32"/>
          <w:szCs w:val="32"/>
          <w:shd w:val="clear" w:color="auto" w:fill="FFFFFF"/>
          <w:lang w:val="en-US" w:eastAsia="zh-CN" w:bidi="ar-SA"/>
        </w:rPr>
        <w:t xml:space="preserve"> </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根据国家、省有关规定以及职工医保统筹基金运行情况，市医疗保障部门会同市财政部门可对个人账户划入标准、普通门诊统筹待遇标准进行适当调整，</w:t>
      </w:r>
      <w:r>
        <w:rPr>
          <w:rFonts w:hint="eastAsia" w:ascii="仿宋_GB2312" w:eastAsia="仿宋_GB2312"/>
          <w:color w:val="000000"/>
          <w:sz w:val="32"/>
          <w:szCs w:val="32"/>
          <w:lang w:eastAsia="zh-CN"/>
        </w:rPr>
        <w:t>报市人民政府批准后实施。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000000"/>
          <w:sz w:val="32"/>
          <w:szCs w:val="32"/>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第三十五条 </w:t>
      </w:r>
      <w:r>
        <w:rPr>
          <w:rFonts w:hint="eastAsia" w:ascii="仿宋_GB2312" w:eastAsia="仿宋_GB2312"/>
          <w:color w:val="000000"/>
          <w:sz w:val="32"/>
          <w:szCs w:val="32"/>
          <w:lang w:eastAsia="zh-CN"/>
        </w:rPr>
        <w:t>根据医保基金运行情况，</w:t>
      </w:r>
      <w:r>
        <w:rPr>
          <w:rFonts w:hint="eastAsia" w:ascii="仿宋" w:hAnsi="仿宋" w:eastAsia="仿宋" w:cs="仿宋"/>
          <w:color w:val="000000"/>
          <w:sz w:val="32"/>
          <w:szCs w:val="32"/>
          <w:highlight w:val="none"/>
          <w:lang w:val="en-US" w:eastAsia="zh-CN"/>
        </w:rPr>
        <w:t>逐步调整完善门诊慢特病病种范围，探索由病种保障向费用保障过渡。</w:t>
      </w:r>
      <w:r>
        <w:rPr>
          <w:rFonts w:hint="eastAsia" w:ascii="仿宋_GB2312" w:eastAsia="仿宋_GB2312"/>
          <w:color w:val="000000"/>
          <w:sz w:val="32"/>
          <w:szCs w:val="32"/>
        </w:rPr>
        <w:t>适</w:t>
      </w:r>
      <w:r>
        <w:rPr>
          <w:rFonts w:hint="eastAsia" w:ascii="仿宋_GB2312" w:eastAsia="仿宋_GB2312"/>
          <w:color w:val="000000"/>
          <w:sz w:val="32"/>
          <w:szCs w:val="32"/>
          <w:lang w:eastAsia="zh-CN"/>
        </w:rPr>
        <w:t>时</w:t>
      </w:r>
      <w:r>
        <w:rPr>
          <w:rFonts w:hint="eastAsia" w:ascii="仿宋_GB2312" w:eastAsia="仿宋_GB2312"/>
          <w:color w:val="000000"/>
          <w:sz w:val="32"/>
          <w:szCs w:val="32"/>
        </w:rPr>
        <w:t>调整住院起付线标准，做好普通门诊统筹与住院统筹间的政策衔接</w:t>
      </w:r>
      <w:r>
        <w:rPr>
          <w:rFonts w:hint="eastAsia" w:ascii="仿宋_GB2312" w:eastAsia="仿宋_GB2312"/>
          <w:color w:val="000000"/>
          <w:sz w:val="32"/>
          <w:szCs w:val="32"/>
          <w:lang w:eastAsia="zh-CN"/>
        </w:rPr>
        <w:t>。</w:t>
      </w:r>
      <w:r>
        <w:rPr>
          <w:rFonts w:hint="eastAsia" w:ascii="仿宋_GB2312" w:eastAsia="仿宋_GB2312"/>
          <w:color w:val="000000"/>
          <w:sz w:val="32"/>
          <w:szCs w:val="32"/>
        </w:rPr>
        <w:t>对部分适合在门诊开展、比住院更经济方便的特殊治疗，可参照住院待遇进行管理。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仿宋_GB2312"/>
          <w:color w:val="000000"/>
          <w:lang w:val="en-US" w:eastAsia="zh-CN"/>
        </w:rPr>
      </w:pPr>
      <w:r>
        <w:rPr>
          <w:rFonts w:hint="eastAsia" w:ascii="黑体" w:hAnsi="黑体" w:eastAsia="黑体" w:cs="黑体"/>
          <w:b w:val="0"/>
          <w:i w:val="0"/>
          <w:caps w:val="0"/>
          <w:color w:val="000000"/>
          <w:spacing w:val="0"/>
          <w:kern w:val="2"/>
          <w:sz w:val="32"/>
          <w:szCs w:val="32"/>
          <w:shd w:val="clear" w:color="auto" w:fill="FFFFFF"/>
          <w:lang w:val="en-US" w:eastAsia="zh-CN" w:bidi="ar-SA"/>
        </w:rPr>
        <w:t>第三十六条</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完善城乡居民基本医疗保险门诊统筹，根据筹资标准的提高适时调整城乡居民医保门诊统筹最高支付限额，逐步提高保障水平。</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left="0" w:right="0" w:firstLine="645"/>
        <w:textAlignment w:val="auto"/>
        <w:rPr>
          <w:color w:val="000000"/>
        </w:rPr>
      </w:pPr>
      <w:r>
        <w:rPr>
          <w:rFonts w:hint="eastAsia" w:ascii="黑体" w:hAnsi="黑体" w:eastAsia="黑体" w:cs="黑体"/>
          <w:b w:val="0"/>
          <w:i w:val="0"/>
          <w:caps w:val="0"/>
          <w:color w:val="000000"/>
          <w:spacing w:val="0"/>
          <w:kern w:val="2"/>
          <w:sz w:val="32"/>
          <w:szCs w:val="32"/>
          <w:shd w:val="clear" w:color="auto" w:fill="FFFFFF"/>
          <w:lang w:val="en-US" w:eastAsia="zh-CN" w:bidi="ar-SA"/>
        </w:rPr>
        <w:t xml:space="preserve">第三十七条 </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本实施细则由市医疗保障局负责解释，自  年</w:t>
      </w:r>
      <w:r>
        <w:rPr>
          <w:rFonts w:hint="eastAsia" w:ascii="仿宋_GB2312" w:hAnsi="仿宋_GB2312" w:eastAsia="仿宋_GB2312" w:cs="仿宋_GB2312"/>
          <w:b w:val="0"/>
          <w:i w:val="0"/>
          <w:caps w:val="0"/>
          <w:color w:val="000000"/>
          <w:spacing w:val="0"/>
          <w:kern w:val="2"/>
          <w:sz w:val="32"/>
          <w:szCs w:val="32"/>
          <w:u w:val="none"/>
          <w:shd w:val="clear" w:color="auto" w:fill="FFFFFF"/>
          <w:lang w:val="en-US" w:eastAsia="zh-CN" w:bidi="ar-SA"/>
        </w:rPr>
        <w:t xml:space="preserve"> 月  日</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起施行。原文件中与本细则要求不一致的，按本实施细则执行。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left"/>
        <w:textAlignment w:val="auto"/>
        <w:rPr>
          <w:rFonts w:hint="default" w:ascii="仿宋_GB2312" w:hAnsi="仿宋_GB2312" w:eastAsia="仿宋_GB2312" w:cs="仿宋_GB2312"/>
          <w:i w:val="0"/>
          <w:caps w:val="0"/>
          <w:color w:val="333333"/>
          <w:spacing w:val="0"/>
          <w:sz w:val="32"/>
          <w:szCs w:val="32"/>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lef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2194"/>
    <w:rsid w:val="542A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tabs>
        <w:tab w:val="right" w:leader="dot" w:pos="7980"/>
      </w:tabs>
      <w:ind w:left="420" w:leftChars="200"/>
    </w:pPr>
    <w:rPr>
      <w:rFonts w:ascii="Calibri" w:hAnsi="Calibri" w:cs="Times New Roman"/>
      <w:szCs w:val="24"/>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2022-07-15T08:54:00Z</dcterms:created>
  <dc:creator>Administrator</dc:creator>
  <cp:lastModifiedBy>Administrator</cp:lastModifiedBy>
  <dcterms:modified xsi:type="dcterms:W3CDTF">2022-07-15T08:55:26Z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9C60B37391AC4EEB898BC9FDDC2611B1</vt:lpwstr>
  </property>
</Properties>
</file>